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9610" w14:textId="77777777" w:rsidR="00AF308C" w:rsidRDefault="00AF308C" w:rsidP="007F00EE">
      <w:pPr>
        <w:jc w:val="center"/>
      </w:pPr>
    </w:p>
    <w:p w14:paraId="6A038F90" w14:textId="3933A8DB" w:rsidR="007F00EE" w:rsidRPr="00AF308C" w:rsidRDefault="31ACC919" w:rsidP="007F00EE">
      <w:pPr>
        <w:jc w:val="center"/>
        <w:rPr>
          <w:b/>
          <w:bCs/>
        </w:rPr>
      </w:pPr>
      <w:r w:rsidRPr="00AF308C">
        <w:rPr>
          <w:b/>
          <w:bCs/>
        </w:rPr>
        <w:t>Abstract</w:t>
      </w:r>
    </w:p>
    <w:p w14:paraId="59D1A43F" w14:textId="5A96FB32" w:rsidR="00D964DD" w:rsidRDefault="00D964DD" w:rsidP="007F00EE">
      <w:pPr>
        <w:jc w:val="center"/>
      </w:pPr>
    </w:p>
    <w:p w14:paraId="6D2FA619" w14:textId="5FE26B52" w:rsidR="00D964DD" w:rsidRDefault="00D964DD" w:rsidP="00AF308C">
      <w:pPr>
        <w:spacing w:line="480" w:lineRule="auto"/>
      </w:pPr>
      <w:r>
        <w:t>South Asian</w:t>
      </w:r>
      <w:r w:rsidR="00E05D8D">
        <w:t xml:space="preserve"> (SA)</w:t>
      </w:r>
      <w:r w:rsidR="00D26014">
        <w:t xml:space="preserve"> </w:t>
      </w:r>
      <w:r>
        <w:t xml:space="preserve">immigrants are one of the fastest growing immigrant groups in the U.S. Similar to other immigrant groups, domestic violence has become a cause of growing concern among this community. </w:t>
      </w:r>
      <w:r w:rsidR="008966ED">
        <w:t xml:space="preserve">Owing to the multifaceted cultural nuances among </w:t>
      </w:r>
      <w:r w:rsidR="00E05D8D">
        <w:t>SAs</w:t>
      </w:r>
      <w:r w:rsidR="008966ED">
        <w:t xml:space="preserve">, domestic violence manifests in distinctive ways, including abuse </w:t>
      </w:r>
      <w:r w:rsidR="00C5563C">
        <w:t xml:space="preserve">by </w:t>
      </w:r>
      <w:r w:rsidR="008966ED">
        <w:t>in-laws. To</w:t>
      </w:r>
      <w:r>
        <w:t xml:space="preserve"> accurately understand the ways in which domestic violence </w:t>
      </w:r>
      <w:r w:rsidR="008966ED">
        <w:t xml:space="preserve">is experienced </w:t>
      </w:r>
      <w:r>
        <w:t xml:space="preserve">in this community, it is essential to </w:t>
      </w:r>
      <w:r w:rsidR="008966ED">
        <w:t>utilize culturally responsive instruments. Therefore, a culturally responsive instrument called SMILE (</w:t>
      </w:r>
      <w:r w:rsidR="008966ED" w:rsidRPr="008966ED">
        <w:rPr>
          <w:b/>
          <w:bCs/>
        </w:rPr>
        <w:t>S</w:t>
      </w:r>
      <w:r w:rsidR="008966ED">
        <w:t xml:space="preserve">cale to </w:t>
      </w:r>
      <w:r w:rsidR="008966ED" w:rsidRPr="008966ED">
        <w:rPr>
          <w:b/>
          <w:bCs/>
        </w:rPr>
        <w:t>M</w:t>
      </w:r>
      <w:r w:rsidR="008966ED">
        <w:t xml:space="preserve">easure </w:t>
      </w:r>
      <w:r w:rsidR="008966ED" w:rsidRPr="008966ED">
        <w:rPr>
          <w:b/>
          <w:bCs/>
        </w:rPr>
        <w:t>I</w:t>
      </w:r>
      <w:r w:rsidR="008966ED">
        <w:t>n-</w:t>
      </w:r>
      <w:r w:rsidR="008966ED" w:rsidRPr="008966ED">
        <w:rPr>
          <w:b/>
          <w:bCs/>
        </w:rPr>
        <w:t>L</w:t>
      </w:r>
      <w:r w:rsidR="008966ED">
        <w:t xml:space="preserve">aws </w:t>
      </w:r>
      <w:r w:rsidR="008966ED" w:rsidRPr="008966ED">
        <w:rPr>
          <w:b/>
          <w:bCs/>
        </w:rPr>
        <w:t>E</w:t>
      </w:r>
      <w:r w:rsidR="008966ED">
        <w:t>xploitation &amp; abuse</w:t>
      </w:r>
      <w:r w:rsidR="00255426">
        <w:t>)</w:t>
      </w:r>
      <w:r w:rsidR="008966ED">
        <w:t xml:space="preserve"> was developed to examine the items that were perceived to constitute in-laws abuse by </w:t>
      </w:r>
      <w:r w:rsidR="00E05D8D">
        <w:t>SA</w:t>
      </w:r>
      <w:r w:rsidR="008966ED">
        <w:t xml:space="preserve"> men and women across the U</w:t>
      </w:r>
      <w:r w:rsidR="00BF2469">
        <w:t xml:space="preserve">nited States. </w:t>
      </w:r>
      <w:r w:rsidR="00FE5DCA">
        <w:t xml:space="preserve"> </w:t>
      </w:r>
      <w:r w:rsidR="008966ED">
        <w:t>Implications for social work research, practice and policy are discussed</w:t>
      </w:r>
      <w:r w:rsidR="00FE5DCA">
        <w:t>, nationally and globally</w:t>
      </w:r>
      <w:r w:rsidR="008966ED">
        <w:t xml:space="preserve">. </w:t>
      </w:r>
    </w:p>
    <w:p w14:paraId="4A935D3A" w14:textId="11FC1C61" w:rsidR="00E3432D" w:rsidRDefault="00E3432D" w:rsidP="00AF308C">
      <w:pPr>
        <w:spacing w:line="480" w:lineRule="auto"/>
      </w:pPr>
      <w:r>
        <w:t>Keywords: culturally responsive, domestic violence, in-laws abuse, South Asians, immigrants</w:t>
      </w:r>
    </w:p>
    <w:p w14:paraId="7C2E0F6A" w14:textId="54212DAC" w:rsidR="31ACC919" w:rsidRDefault="31ACC919" w:rsidP="00AF308C">
      <w:pPr>
        <w:spacing w:line="480" w:lineRule="auto"/>
        <w:jc w:val="center"/>
      </w:pPr>
    </w:p>
    <w:p w14:paraId="6089EA23" w14:textId="18C88B59" w:rsidR="007F00EE" w:rsidRPr="00C3125A" w:rsidRDefault="007F00EE" w:rsidP="00AF308C">
      <w:pPr>
        <w:spacing w:line="480" w:lineRule="auto"/>
        <w:jc w:val="center"/>
      </w:pPr>
    </w:p>
    <w:p w14:paraId="6C750A96" w14:textId="77777777" w:rsidR="009244BA" w:rsidRDefault="009244BA">
      <w:pPr>
        <w:rPr>
          <w:b/>
          <w:bCs/>
        </w:rPr>
      </w:pPr>
      <w:r>
        <w:rPr>
          <w:b/>
          <w:bCs/>
        </w:rPr>
        <w:br w:type="page"/>
      </w:r>
    </w:p>
    <w:p w14:paraId="50A54578" w14:textId="699AA33B" w:rsidR="004C0CBC" w:rsidRDefault="31ACC919" w:rsidP="004C0CBC">
      <w:pPr>
        <w:spacing w:line="480" w:lineRule="auto"/>
        <w:jc w:val="center"/>
        <w:rPr>
          <w:b/>
          <w:bCs/>
        </w:rPr>
      </w:pPr>
      <w:r w:rsidRPr="31ACC919">
        <w:rPr>
          <w:b/>
          <w:bCs/>
        </w:rPr>
        <w:lastRenderedPageBreak/>
        <w:t>Introduction</w:t>
      </w:r>
    </w:p>
    <w:p w14:paraId="5E67E8E0" w14:textId="14D0B030" w:rsidR="00546B90" w:rsidRDefault="31ACC919" w:rsidP="31ACC919">
      <w:pPr>
        <w:spacing w:line="480" w:lineRule="auto"/>
        <w:ind w:firstLine="720"/>
        <w:rPr>
          <w:color w:val="000000" w:themeColor="text1"/>
        </w:rPr>
      </w:pPr>
      <w:r w:rsidRPr="31ACC919">
        <w:rPr>
          <w:color w:val="000000" w:themeColor="text1"/>
        </w:rPr>
        <w:t>South Asians (SAs) are one of the fastest-growing immigrant group</w:t>
      </w:r>
      <w:r w:rsidR="00506A56">
        <w:rPr>
          <w:color w:val="000000" w:themeColor="text1"/>
        </w:rPr>
        <w:t>s</w:t>
      </w:r>
      <w:r w:rsidRPr="31ACC919">
        <w:rPr>
          <w:color w:val="000000" w:themeColor="text1"/>
        </w:rPr>
        <w:t xml:space="preserve"> in the </w:t>
      </w:r>
      <w:r w:rsidR="00BF2469">
        <w:rPr>
          <w:color w:val="000000" w:themeColor="text1"/>
        </w:rPr>
        <w:t>United States (</w:t>
      </w:r>
      <w:r w:rsidRPr="31ACC919">
        <w:rPr>
          <w:color w:val="000000" w:themeColor="text1"/>
        </w:rPr>
        <w:t>U.S</w:t>
      </w:r>
      <w:r w:rsidR="00BF2469">
        <w:rPr>
          <w:color w:val="000000" w:themeColor="text1"/>
        </w:rPr>
        <w:t>)</w:t>
      </w:r>
      <w:r w:rsidRPr="31ACC919">
        <w:rPr>
          <w:color w:val="000000" w:themeColor="text1"/>
        </w:rPr>
        <w:t xml:space="preserve">. A total of 5.4 million SAs live in the U.S. (South Asian Americans Leading Together, 2019). </w:t>
      </w:r>
      <w:r w:rsidR="00FE5DCA">
        <w:rPr>
          <w:color w:val="000000" w:themeColor="text1"/>
        </w:rPr>
        <w:t>Similar to the U.S.</w:t>
      </w:r>
      <w:r w:rsidR="00D6795C">
        <w:rPr>
          <w:color w:val="000000" w:themeColor="text1"/>
        </w:rPr>
        <w:t>,</w:t>
      </w:r>
      <w:r w:rsidR="00FE5DCA">
        <w:rPr>
          <w:color w:val="000000" w:themeColor="text1"/>
        </w:rPr>
        <w:t xml:space="preserve"> </w:t>
      </w:r>
      <w:r w:rsidR="00BB7966">
        <w:rPr>
          <w:color w:val="000000" w:themeColor="text1"/>
        </w:rPr>
        <w:t>SAs</w:t>
      </w:r>
      <w:r w:rsidR="00FE5DCA">
        <w:rPr>
          <w:color w:val="000000" w:themeColor="text1"/>
        </w:rPr>
        <w:t xml:space="preserve"> are spread across the world including countries like Canada and the United Kingdom among others. </w:t>
      </w:r>
      <w:r w:rsidR="007458A6" w:rsidRPr="00840656">
        <w:rPr>
          <w:color w:val="000000" w:themeColor="text1"/>
          <w:highlight w:val="yellow"/>
        </w:rPr>
        <w:t>There are about 1.</w:t>
      </w:r>
      <w:r w:rsidR="00D609BF" w:rsidRPr="00840656">
        <w:rPr>
          <w:color w:val="000000" w:themeColor="text1"/>
          <w:highlight w:val="yellow"/>
        </w:rPr>
        <w:t>77</w:t>
      </w:r>
      <w:r w:rsidR="007458A6" w:rsidRPr="00840656">
        <w:rPr>
          <w:color w:val="000000" w:themeColor="text1"/>
          <w:highlight w:val="yellow"/>
        </w:rPr>
        <w:t xml:space="preserve"> million </w:t>
      </w:r>
      <w:r w:rsidR="00BB7966" w:rsidRPr="00840656">
        <w:rPr>
          <w:color w:val="000000" w:themeColor="text1"/>
          <w:highlight w:val="yellow"/>
        </w:rPr>
        <w:t>SAs</w:t>
      </w:r>
      <w:r w:rsidR="007458A6" w:rsidRPr="00840656">
        <w:rPr>
          <w:color w:val="000000" w:themeColor="text1"/>
          <w:highlight w:val="yellow"/>
        </w:rPr>
        <w:t xml:space="preserve"> in the U.K. and close to 2 million SAs in Canada (</w:t>
      </w:r>
      <w:r w:rsidR="00E70F39" w:rsidRPr="00840656">
        <w:rPr>
          <w:color w:val="000000" w:themeColor="text1"/>
          <w:highlight w:val="yellow"/>
        </w:rPr>
        <w:t>Office of National Statistics, 2021; Statistics Canada, 2017</w:t>
      </w:r>
      <w:r w:rsidR="007458A6" w:rsidRPr="00840656">
        <w:rPr>
          <w:color w:val="000000" w:themeColor="text1"/>
          <w:highlight w:val="yellow"/>
        </w:rPr>
        <w:t>).</w:t>
      </w:r>
      <w:r w:rsidR="007458A6" w:rsidRPr="00AC33A9">
        <w:rPr>
          <w:color w:val="000000" w:themeColor="text1"/>
        </w:rPr>
        <w:t xml:space="preserve"> </w:t>
      </w:r>
      <w:r w:rsidR="00FE5DCA" w:rsidRPr="00AC33A9">
        <w:rPr>
          <w:color w:val="000000" w:themeColor="text1"/>
        </w:rPr>
        <w:t xml:space="preserve"> </w:t>
      </w:r>
      <w:r w:rsidRPr="31ACC919">
        <w:rPr>
          <w:color w:val="000000" w:themeColor="text1"/>
        </w:rPr>
        <w:t xml:space="preserve">The SA-American community consists of individuals from many countries, including India, Pakistan, </w:t>
      </w:r>
      <w:r w:rsidR="00F7094C">
        <w:rPr>
          <w:color w:val="000000" w:themeColor="text1"/>
        </w:rPr>
        <w:t xml:space="preserve">Nepal, Bhutan, Maldives, Sri Lanka </w:t>
      </w:r>
      <w:r w:rsidRPr="31ACC919">
        <w:rPr>
          <w:color w:val="000000" w:themeColor="text1"/>
        </w:rPr>
        <w:t xml:space="preserve">and Bangladesh (Mahapatra, 2012; </w:t>
      </w:r>
      <w:r w:rsidR="00047F82" w:rsidRPr="00047F82">
        <w:rPr>
          <w:color w:val="000000" w:themeColor="text1"/>
          <w:highlight w:val="yellow"/>
        </w:rPr>
        <w:t xml:space="preserve">Rai </w:t>
      </w:r>
      <w:r w:rsidR="00351106">
        <w:rPr>
          <w:color w:val="000000" w:themeColor="text1"/>
          <w:highlight w:val="yellow"/>
        </w:rPr>
        <w:t>and</w:t>
      </w:r>
      <w:r w:rsidR="00047F82" w:rsidRPr="00047F82">
        <w:rPr>
          <w:color w:val="000000" w:themeColor="text1"/>
          <w:highlight w:val="yellow"/>
        </w:rPr>
        <w:t xml:space="preserve"> Choi, 2018</w:t>
      </w:r>
      <w:r w:rsidRPr="00047F82">
        <w:rPr>
          <w:color w:val="000000" w:themeColor="text1"/>
          <w:highlight w:val="yellow"/>
        </w:rPr>
        <w:t>).</w:t>
      </w:r>
      <w:r w:rsidRPr="31ACC919">
        <w:rPr>
          <w:color w:val="000000" w:themeColor="text1"/>
        </w:rPr>
        <w:t xml:space="preserve"> Similar to other groups around the world, domestic violence (DV) is a pervasive and far-</w:t>
      </w:r>
      <w:r w:rsidR="00F7094C">
        <w:rPr>
          <w:color w:val="000000" w:themeColor="text1"/>
        </w:rPr>
        <w:t>r</w:t>
      </w:r>
      <w:r w:rsidRPr="31ACC919">
        <w:rPr>
          <w:color w:val="000000" w:themeColor="text1"/>
        </w:rPr>
        <w:t xml:space="preserve">eaching problem that impacts the health and wellbeing of SAs. The prevalence rates of domestic violence (DV) among SAs ranges from 18% (Hurwitz et al., 2006) to 48% </w:t>
      </w:r>
      <w:r w:rsidR="00C34745" w:rsidRPr="00047F82">
        <w:rPr>
          <w:color w:val="000000" w:themeColor="text1"/>
          <w:highlight w:val="yellow"/>
        </w:rPr>
        <w:t>(</w:t>
      </w:r>
      <w:r w:rsidR="00047F82" w:rsidRPr="00047F82">
        <w:rPr>
          <w:color w:val="000000" w:themeColor="text1"/>
          <w:highlight w:val="yellow"/>
        </w:rPr>
        <w:t xml:space="preserve">Mahapatra </w:t>
      </w:r>
      <w:r w:rsidR="00351106">
        <w:rPr>
          <w:color w:val="000000" w:themeColor="text1"/>
          <w:highlight w:val="yellow"/>
        </w:rPr>
        <w:t>and</w:t>
      </w:r>
      <w:r w:rsidR="00047F82" w:rsidRPr="00047F82">
        <w:rPr>
          <w:color w:val="000000" w:themeColor="text1"/>
          <w:highlight w:val="yellow"/>
        </w:rPr>
        <w:t xml:space="preserve"> Rai, </w:t>
      </w:r>
      <w:r w:rsidR="00F93AB5">
        <w:rPr>
          <w:color w:val="000000" w:themeColor="text1"/>
          <w:highlight w:val="yellow"/>
        </w:rPr>
        <w:t xml:space="preserve">2019; </w:t>
      </w:r>
      <w:r w:rsidR="00047F82" w:rsidRPr="00047F82">
        <w:rPr>
          <w:color w:val="000000" w:themeColor="text1"/>
          <w:highlight w:val="yellow"/>
        </w:rPr>
        <w:t xml:space="preserve">Rai </w:t>
      </w:r>
      <w:r w:rsidR="00351106">
        <w:rPr>
          <w:color w:val="000000" w:themeColor="text1"/>
          <w:highlight w:val="yellow"/>
        </w:rPr>
        <w:t>and</w:t>
      </w:r>
      <w:r w:rsidR="00047F82" w:rsidRPr="00047F82">
        <w:rPr>
          <w:color w:val="000000" w:themeColor="text1"/>
          <w:highlight w:val="yellow"/>
        </w:rPr>
        <w:t xml:space="preserve"> Choi, 2021</w:t>
      </w:r>
      <w:r w:rsidRPr="00047F82">
        <w:rPr>
          <w:color w:val="000000" w:themeColor="text1"/>
          <w:highlight w:val="yellow"/>
        </w:rPr>
        <w:t>).</w:t>
      </w:r>
      <w:r w:rsidRPr="31ACC919">
        <w:rPr>
          <w:color w:val="000000" w:themeColor="text1"/>
        </w:rPr>
        <w:t xml:space="preserve"> Community agencies and researchers posit that the prevalence rates may be higher than what has been found in studies due to the use of small and unrepresentative samples as well as underreporting of DV (</w:t>
      </w:r>
      <w:proofErr w:type="spellStart"/>
      <w:r w:rsidRPr="31ACC919">
        <w:rPr>
          <w:color w:val="000000" w:themeColor="text1"/>
        </w:rPr>
        <w:t>Murugan</w:t>
      </w:r>
      <w:proofErr w:type="spellEnd"/>
      <w:r w:rsidRPr="31ACC919">
        <w:rPr>
          <w:color w:val="000000" w:themeColor="text1"/>
        </w:rPr>
        <w:t xml:space="preserve">, 2017; </w:t>
      </w:r>
      <w:r w:rsidR="00AE2947">
        <w:rPr>
          <w:color w:val="000000" w:themeColor="text1"/>
        </w:rPr>
        <w:t xml:space="preserve">Rai </w:t>
      </w:r>
      <w:r w:rsidR="00351106">
        <w:rPr>
          <w:color w:val="000000" w:themeColor="text1"/>
        </w:rPr>
        <w:t>and</w:t>
      </w:r>
      <w:r w:rsidR="00AE2947">
        <w:rPr>
          <w:color w:val="000000" w:themeColor="text1"/>
        </w:rPr>
        <w:t xml:space="preserve"> Choi, 2021</w:t>
      </w:r>
      <w:r w:rsidRPr="31ACC919">
        <w:rPr>
          <w:color w:val="000000" w:themeColor="text1"/>
        </w:rPr>
        <w:t xml:space="preserve">). </w:t>
      </w:r>
    </w:p>
    <w:p w14:paraId="20C5F647" w14:textId="46A43F38" w:rsidR="00E6613B" w:rsidRDefault="31ACC919" w:rsidP="31ACC919">
      <w:pPr>
        <w:spacing w:line="480" w:lineRule="auto"/>
        <w:ind w:firstLine="720"/>
        <w:rPr>
          <w:color w:val="000000" w:themeColor="text1"/>
        </w:rPr>
      </w:pPr>
      <w:r w:rsidRPr="31ACC919">
        <w:rPr>
          <w:color w:val="000000" w:themeColor="text1"/>
        </w:rPr>
        <w:t xml:space="preserve">Prevalence rates of DV among SAs vary based on the type of abuse with rates as high as 40% for physical and sexual abuse, and 50% for emotional and psychological abuse (Mahapatra, 2012; Soglin et al., 2020). </w:t>
      </w:r>
      <w:r w:rsidR="00E6613B" w:rsidRPr="00E6613B">
        <w:rPr>
          <w:color w:val="000000" w:themeColor="text1"/>
          <w:highlight w:val="yellow"/>
        </w:rPr>
        <w:t>Minority communities are more prone to victimization as suggested by the Centers for Disease Control (2014).</w:t>
      </w:r>
      <w:r w:rsidR="00E6613B">
        <w:rPr>
          <w:color w:val="000000" w:themeColor="text1"/>
        </w:rPr>
        <w:t xml:space="preserve"> </w:t>
      </w:r>
      <w:r w:rsidR="00E6613B" w:rsidRPr="00E6613B">
        <w:rPr>
          <w:color w:val="000000" w:themeColor="text1"/>
          <w:highlight w:val="yellow"/>
        </w:rPr>
        <w:t>Both men and women can experience DV</w:t>
      </w:r>
      <w:r w:rsidR="00546B90">
        <w:rPr>
          <w:color w:val="000000" w:themeColor="text1"/>
        </w:rPr>
        <w:t xml:space="preserve">, </w:t>
      </w:r>
      <w:r w:rsidR="00546B90" w:rsidRPr="00546B90">
        <w:rPr>
          <w:color w:val="000000" w:themeColor="text1"/>
          <w:highlight w:val="yellow"/>
        </w:rPr>
        <w:t xml:space="preserve">such that, </w:t>
      </w:r>
      <w:r w:rsidR="00E6613B" w:rsidRPr="00546B90">
        <w:rPr>
          <w:color w:val="000000" w:themeColor="text1"/>
          <w:highlight w:val="yellow"/>
        </w:rPr>
        <w:t xml:space="preserve">51.7% of American Indian/Alaska Native women versus 40.3% of American Indian/Alaska Native men; </w:t>
      </w:r>
      <w:r w:rsidR="00546B90" w:rsidRPr="00546B90">
        <w:rPr>
          <w:color w:val="000000" w:themeColor="text1"/>
          <w:highlight w:val="yellow"/>
        </w:rPr>
        <w:t xml:space="preserve">29.7% for Hispanic women versus 27.1% for Hispanic men; 15.3% </w:t>
      </w:r>
      <w:r w:rsidR="00547501">
        <w:rPr>
          <w:color w:val="000000" w:themeColor="text1"/>
          <w:highlight w:val="yellow"/>
        </w:rPr>
        <w:t>of</w:t>
      </w:r>
      <w:r w:rsidR="00546B90" w:rsidRPr="00546B90">
        <w:rPr>
          <w:color w:val="000000" w:themeColor="text1"/>
          <w:highlight w:val="yellow"/>
        </w:rPr>
        <w:t xml:space="preserve"> Asian Pacific Islander women versus 11.5% for Asian Pacific Islander men reported experi</w:t>
      </w:r>
      <w:r w:rsidR="002B239E">
        <w:rPr>
          <w:color w:val="000000" w:themeColor="text1"/>
          <w:highlight w:val="yellow"/>
        </w:rPr>
        <w:t>en</w:t>
      </w:r>
      <w:r w:rsidR="00546B90" w:rsidRPr="00546B90">
        <w:rPr>
          <w:color w:val="000000" w:themeColor="text1"/>
          <w:highlight w:val="yellow"/>
        </w:rPr>
        <w:t xml:space="preserve">cing physical DV victimization. Similar rates were noted for sexual abuse. Data about SAs was unavailable. Furthermore, according to the report by the National Center for Victims of Crime, women even </w:t>
      </w:r>
      <w:r w:rsidR="00546B90" w:rsidRPr="00546B90">
        <w:rPr>
          <w:color w:val="000000" w:themeColor="text1"/>
          <w:highlight w:val="yellow"/>
        </w:rPr>
        <w:lastRenderedPageBreak/>
        <w:t xml:space="preserve">though more likely to experience overall DV, the proportion of </w:t>
      </w:r>
      <w:proofErr w:type="spellStart"/>
      <w:r w:rsidR="00F8753B">
        <w:rPr>
          <w:color w:val="000000" w:themeColor="text1"/>
          <w:highlight w:val="yellow"/>
        </w:rPr>
        <w:t>indviduals</w:t>
      </w:r>
      <w:proofErr w:type="spellEnd"/>
      <w:r w:rsidR="00546B90" w:rsidRPr="00546B90">
        <w:rPr>
          <w:color w:val="000000" w:themeColor="text1"/>
          <w:highlight w:val="yellow"/>
        </w:rPr>
        <w:t xml:space="preserve"> experiencing psychological DV is becoming comparable at about 47% for both men and women (NCVRW, 2017</w:t>
      </w:r>
      <w:r w:rsidR="00546B90" w:rsidRPr="005505D1">
        <w:rPr>
          <w:color w:val="000000" w:themeColor="text1"/>
          <w:highlight w:val="yellow"/>
        </w:rPr>
        <w:t>)</w:t>
      </w:r>
      <w:r w:rsidR="00547501" w:rsidRPr="005505D1">
        <w:rPr>
          <w:color w:val="000000" w:themeColor="text1"/>
          <w:highlight w:val="yellow"/>
        </w:rPr>
        <w:t xml:space="preserve">. In the study by Rai </w:t>
      </w:r>
      <w:r w:rsidR="00351106">
        <w:rPr>
          <w:color w:val="000000" w:themeColor="text1"/>
          <w:highlight w:val="yellow"/>
        </w:rPr>
        <w:t>and</w:t>
      </w:r>
      <w:r w:rsidR="00547501" w:rsidRPr="005505D1">
        <w:rPr>
          <w:color w:val="000000" w:themeColor="text1"/>
          <w:highlight w:val="yellow"/>
        </w:rPr>
        <w:t xml:space="preserve"> Choi (2021), with SAs</w:t>
      </w:r>
      <w:r w:rsidR="005505D1" w:rsidRPr="005505D1">
        <w:rPr>
          <w:color w:val="000000" w:themeColor="text1"/>
          <w:highlight w:val="yellow"/>
        </w:rPr>
        <w:t xml:space="preserve"> it was seen that, 41% of men and 57% of women experienced physical DV; 35% of men and 43% of women experienced emotional DV; 29% of men and 42% of women experienced economic DV; 22% of men and 34% of women experienced verbal DV; 25% of men and 29% of women experienced immigration-related DV; 25% of </w:t>
      </w:r>
      <w:r w:rsidR="00FE7468" w:rsidRPr="005505D1">
        <w:rPr>
          <w:color w:val="000000" w:themeColor="text1"/>
          <w:highlight w:val="yellow"/>
        </w:rPr>
        <w:t>m</w:t>
      </w:r>
      <w:r w:rsidR="00FE7468">
        <w:rPr>
          <w:color w:val="000000" w:themeColor="text1"/>
          <w:highlight w:val="yellow"/>
        </w:rPr>
        <w:t>en</w:t>
      </w:r>
      <w:r w:rsidR="00FE7468" w:rsidRPr="005505D1">
        <w:rPr>
          <w:color w:val="000000" w:themeColor="text1"/>
          <w:highlight w:val="yellow"/>
        </w:rPr>
        <w:t xml:space="preserve"> </w:t>
      </w:r>
      <w:r w:rsidR="005505D1" w:rsidRPr="005505D1">
        <w:rPr>
          <w:color w:val="000000" w:themeColor="text1"/>
          <w:highlight w:val="yellow"/>
        </w:rPr>
        <w:t>and 29% of women experienced in-laws abuse and finally 10% of men and 12% of women experienced sexual DV.</w:t>
      </w:r>
      <w:r w:rsidR="005505D1">
        <w:rPr>
          <w:color w:val="000000" w:themeColor="text1"/>
        </w:rPr>
        <w:t xml:space="preserve"> </w:t>
      </w:r>
      <w:r w:rsidR="00547501" w:rsidRPr="00547501">
        <w:rPr>
          <w:color w:val="000000" w:themeColor="text1"/>
          <w:highlight w:val="yellow"/>
        </w:rPr>
        <w:t xml:space="preserve">This </w:t>
      </w:r>
      <w:r w:rsidR="00182811">
        <w:rPr>
          <w:color w:val="000000" w:themeColor="text1"/>
          <w:highlight w:val="yellow"/>
        </w:rPr>
        <w:t>shows</w:t>
      </w:r>
      <w:r w:rsidR="00547501" w:rsidRPr="00547501">
        <w:rPr>
          <w:color w:val="000000" w:themeColor="text1"/>
          <w:highlight w:val="yellow"/>
        </w:rPr>
        <w:t xml:space="preserve"> that examining victimization among men and women is crucial </w:t>
      </w:r>
      <w:r w:rsidR="0062792A">
        <w:rPr>
          <w:color w:val="000000" w:themeColor="text1"/>
          <w:highlight w:val="yellow"/>
        </w:rPr>
        <w:t>and historically</w:t>
      </w:r>
      <w:r w:rsidR="00547501" w:rsidRPr="00547501">
        <w:rPr>
          <w:color w:val="000000" w:themeColor="text1"/>
          <w:highlight w:val="yellow"/>
        </w:rPr>
        <w:t xml:space="preserve"> a missed opportunity among SA </w:t>
      </w:r>
      <w:proofErr w:type="gramStart"/>
      <w:r w:rsidR="0062792A">
        <w:rPr>
          <w:color w:val="000000" w:themeColor="text1"/>
          <w:highlight w:val="yellow"/>
        </w:rPr>
        <w:t>research</w:t>
      </w:r>
      <w:proofErr w:type="gramEnd"/>
      <w:r w:rsidR="00547501" w:rsidRPr="00547501">
        <w:rPr>
          <w:color w:val="000000" w:themeColor="text1"/>
          <w:highlight w:val="yellow"/>
        </w:rPr>
        <w:t>.</w:t>
      </w:r>
      <w:r w:rsidR="00547501">
        <w:rPr>
          <w:color w:val="000000" w:themeColor="text1"/>
        </w:rPr>
        <w:t xml:space="preserve"> </w:t>
      </w:r>
    </w:p>
    <w:p w14:paraId="615C8B86" w14:textId="52782F5B" w:rsidR="31ACC919" w:rsidRDefault="00D33790" w:rsidP="31ACC919">
      <w:pPr>
        <w:spacing w:line="480" w:lineRule="auto"/>
        <w:ind w:firstLine="720"/>
        <w:rPr>
          <w:color w:val="000000" w:themeColor="text1"/>
        </w:rPr>
      </w:pPr>
      <w:r w:rsidRPr="00FA6180">
        <w:rPr>
          <w:color w:val="000000" w:themeColor="text1"/>
        </w:rPr>
        <w:t>Generally speaking</w:t>
      </w:r>
      <w:r w:rsidRPr="00D33790">
        <w:rPr>
          <w:color w:val="000000" w:themeColor="text1"/>
        </w:rPr>
        <w:t xml:space="preserve">, DV can be defined to include physical, sexual, or psychological harm perpetrated </w:t>
      </w:r>
      <w:r w:rsidR="00506A56">
        <w:rPr>
          <w:color w:val="000000" w:themeColor="text1"/>
        </w:rPr>
        <w:t xml:space="preserve">by </w:t>
      </w:r>
      <w:r w:rsidRPr="00D33790">
        <w:rPr>
          <w:color w:val="000000" w:themeColor="text1"/>
        </w:rPr>
        <w:t xml:space="preserve">a partner/spouse </w:t>
      </w:r>
      <w:r w:rsidR="00506A56">
        <w:rPr>
          <w:color w:val="000000" w:themeColor="text1"/>
        </w:rPr>
        <w:t xml:space="preserve">or </w:t>
      </w:r>
      <w:r w:rsidRPr="00D33790">
        <w:rPr>
          <w:color w:val="000000" w:themeColor="text1"/>
        </w:rPr>
        <w:t>other</w:t>
      </w:r>
      <w:r w:rsidR="00506A56">
        <w:rPr>
          <w:color w:val="000000" w:themeColor="text1"/>
        </w:rPr>
        <w:t xml:space="preserve"> </w:t>
      </w:r>
      <w:r w:rsidR="00D26014">
        <w:rPr>
          <w:color w:val="000000" w:themeColor="text1"/>
        </w:rPr>
        <w:t xml:space="preserve">intimate </w:t>
      </w:r>
      <w:r w:rsidR="00506A56">
        <w:rPr>
          <w:color w:val="000000" w:themeColor="text1"/>
        </w:rPr>
        <w:t>partner</w:t>
      </w:r>
      <w:r w:rsidRPr="00D33790">
        <w:rPr>
          <w:color w:val="000000" w:themeColor="text1"/>
        </w:rPr>
        <w:t xml:space="preserve"> (Black et al., 2011). However, owing to the multifaceted nature of the SA community and unique cultural nuances</w:t>
      </w:r>
      <w:r w:rsidR="00F7094C">
        <w:rPr>
          <w:color w:val="000000" w:themeColor="text1"/>
        </w:rPr>
        <w:t>,</w:t>
      </w:r>
      <w:r w:rsidRPr="00D33790">
        <w:rPr>
          <w:color w:val="000000" w:themeColor="text1"/>
        </w:rPr>
        <w:t xml:space="preserve"> such as</w:t>
      </w:r>
      <w:r w:rsidR="00F7094C">
        <w:rPr>
          <w:color w:val="000000" w:themeColor="text1"/>
        </w:rPr>
        <w:t>,</w:t>
      </w:r>
      <w:r w:rsidRPr="00D33790">
        <w:rPr>
          <w:color w:val="000000" w:themeColor="text1"/>
        </w:rPr>
        <w:t xml:space="preserve"> unequal power relations among couples</w:t>
      </w:r>
      <w:r w:rsidR="00D26014">
        <w:rPr>
          <w:color w:val="000000" w:themeColor="text1"/>
        </w:rPr>
        <w:t xml:space="preserve"> and the</w:t>
      </w:r>
      <w:r w:rsidRPr="00D33790">
        <w:rPr>
          <w:color w:val="000000" w:themeColor="text1"/>
        </w:rPr>
        <w:t xml:space="preserve"> involvement of the male partner’s parents in decision-making</w:t>
      </w:r>
      <w:r w:rsidR="0088742E">
        <w:rPr>
          <w:color w:val="000000" w:themeColor="text1"/>
        </w:rPr>
        <w:t>;</w:t>
      </w:r>
      <w:r w:rsidRPr="00D33790">
        <w:rPr>
          <w:color w:val="000000" w:themeColor="text1"/>
        </w:rPr>
        <w:t xml:space="preserve"> male dominance and </w:t>
      </w:r>
      <w:r w:rsidR="0088742E">
        <w:rPr>
          <w:color w:val="000000" w:themeColor="text1"/>
        </w:rPr>
        <w:t>power dynamics</w:t>
      </w:r>
      <w:r w:rsidRPr="00D33790">
        <w:rPr>
          <w:color w:val="000000" w:themeColor="text1"/>
        </w:rPr>
        <w:t xml:space="preserve"> interplay</w:t>
      </w:r>
      <w:r w:rsidR="001A6936">
        <w:rPr>
          <w:color w:val="000000" w:themeColor="text1"/>
        </w:rPr>
        <w:t xml:space="preserve"> </w:t>
      </w:r>
      <w:r w:rsidRPr="00D33790">
        <w:rPr>
          <w:color w:val="000000" w:themeColor="text1"/>
        </w:rPr>
        <w:t>when thinking about DV in the SA community (Goel, 2005; Yoshihama et al., 2012). Further, structural factors such as acculturation and immigration barriers due to visa regulations may also need to be accounted for when deliberating DV in the SA community (</w:t>
      </w:r>
      <w:proofErr w:type="spellStart"/>
      <w:r w:rsidRPr="00D33790">
        <w:rPr>
          <w:color w:val="000000" w:themeColor="text1"/>
        </w:rPr>
        <w:t>Balgamwalla</w:t>
      </w:r>
      <w:proofErr w:type="spellEnd"/>
      <w:r w:rsidRPr="00D33790">
        <w:rPr>
          <w:color w:val="000000" w:themeColor="text1"/>
        </w:rPr>
        <w:t xml:space="preserve">, 2013; </w:t>
      </w:r>
      <w:proofErr w:type="spellStart"/>
      <w:r w:rsidRPr="00D33790">
        <w:rPr>
          <w:color w:val="000000" w:themeColor="text1"/>
        </w:rPr>
        <w:t>Yoshihama</w:t>
      </w:r>
      <w:proofErr w:type="spellEnd"/>
      <w:r w:rsidRPr="00D33790">
        <w:rPr>
          <w:color w:val="000000" w:themeColor="text1"/>
        </w:rPr>
        <w:t xml:space="preserve"> et al., 2012). Despite these nuances, DV research among SAs has been limited to examining physical, sexual, emotional and psychological abuse, leaving out other distinctive ways in which DV can be experienced</w:t>
      </w:r>
      <w:r w:rsidR="00FF57FB">
        <w:rPr>
          <w:color w:val="000000" w:themeColor="text1"/>
        </w:rPr>
        <w:t xml:space="preserve"> by</w:t>
      </w:r>
      <w:r w:rsidRPr="00D33790">
        <w:rPr>
          <w:color w:val="000000" w:themeColor="text1"/>
        </w:rPr>
        <w:t xml:space="preserve"> members of the SA community. </w:t>
      </w:r>
    </w:p>
    <w:p w14:paraId="67BD9F38" w14:textId="469788FE" w:rsidR="00BB21C6" w:rsidRDefault="00BB21C6" w:rsidP="31ACC919">
      <w:pPr>
        <w:spacing w:line="480" w:lineRule="auto"/>
        <w:ind w:firstLine="720"/>
        <w:rPr>
          <w:color w:val="000000" w:themeColor="text1"/>
        </w:rPr>
      </w:pPr>
      <w:r w:rsidRPr="00BB21C6">
        <w:rPr>
          <w:color w:val="000000" w:themeColor="text1"/>
          <w:highlight w:val="yellow"/>
        </w:rPr>
        <w:t xml:space="preserve">Because of cultural factors and </w:t>
      </w:r>
      <w:r w:rsidR="00ED1382">
        <w:rPr>
          <w:color w:val="000000" w:themeColor="text1"/>
          <w:highlight w:val="yellow"/>
        </w:rPr>
        <w:t xml:space="preserve">a </w:t>
      </w:r>
      <w:r w:rsidRPr="00BB21C6">
        <w:rPr>
          <w:color w:val="000000" w:themeColor="text1"/>
          <w:highlight w:val="yellow"/>
        </w:rPr>
        <w:t>large prop</w:t>
      </w:r>
      <w:r w:rsidR="00547501">
        <w:rPr>
          <w:color w:val="000000" w:themeColor="text1"/>
          <w:highlight w:val="yellow"/>
        </w:rPr>
        <w:t>or</w:t>
      </w:r>
      <w:r w:rsidRPr="00BB21C6">
        <w:rPr>
          <w:color w:val="000000" w:themeColor="text1"/>
          <w:highlight w:val="yellow"/>
        </w:rPr>
        <w:t xml:space="preserve">tion of empirical evidence suggests that women are more prone to victimization </w:t>
      </w:r>
      <w:r w:rsidR="00067C1D">
        <w:rPr>
          <w:color w:val="000000" w:themeColor="text1"/>
          <w:highlight w:val="yellow"/>
        </w:rPr>
        <w:t xml:space="preserve">compared </w:t>
      </w:r>
      <w:r w:rsidRPr="00BB21C6">
        <w:rPr>
          <w:color w:val="000000" w:themeColor="text1"/>
          <w:highlight w:val="yellow"/>
        </w:rPr>
        <w:t xml:space="preserve">to men, </w:t>
      </w:r>
      <w:r w:rsidR="0063418F">
        <w:rPr>
          <w:color w:val="000000" w:themeColor="text1"/>
          <w:highlight w:val="yellow"/>
        </w:rPr>
        <w:t xml:space="preserve">the perceptions of men and women may differ </w:t>
      </w:r>
      <w:r w:rsidRPr="00BB21C6">
        <w:rPr>
          <w:color w:val="000000" w:themeColor="text1"/>
          <w:highlight w:val="yellow"/>
        </w:rPr>
        <w:t>(Abraham, 2005</w:t>
      </w:r>
      <w:r w:rsidRPr="000D6067">
        <w:rPr>
          <w:color w:val="000000" w:themeColor="text1"/>
          <w:highlight w:val="yellow"/>
        </w:rPr>
        <w:t xml:space="preserve">). </w:t>
      </w:r>
      <w:r w:rsidR="00ED1382">
        <w:rPr>
          <w:color w:val="000000" w:themeColor="text1"/>
          <w:highlight w:val="yellow"/>
        </w:rPr>
        <w:t>Presently</w:t>
      </w:r>
      <w:r w:rsidR="000D6067" w:rsidRPr="000D6067">
        <w:rPr>
          <w:color w:val="000000" w:themeColor="text1"/>
          <w:highlight w:val="yellow"/>
        </w:rPr>
        <w:t xml:space="preserve">, there </w:t>
      </w:r>
      <w:r w:rsidR="00ED1382">
        <w:rPr>
          <w:color w:val="000000" w:themeColor="text1"/>
          <w:highlight w:val="yellow"/>
        </w:rPr>
        <w:t>is only</w:t>
      </w:r>
      <w:r w:rsidR="000D6067" w:rsidRPr="000D6067">
        <w:rPr>
          <w:color w:val="000000" w:themeColor="text1"/>
          <w:highlight w:val="yellow"/>
        </w:rPr>
        <w:t xml:space="preserve"> one study that </w:t>
      </w:r>
      <w:r w:rsidR="00ED1382">
        <w:rPr>
          <w:color w:val="000000" w:themeColor="text1"/>
          <w:highlight w:val="yellow"/>
        </w:rPr>
        <w:t>focuses</w:t>
      </w:r>
      <w:r w:rsidR="000D6067" w:rsidRPr="000D6067">
        <w:rPr>
          <w:color w:val="000000" w:themeColor="text1"/>
          <w:highlight w:val="yellow"/>
        </w:rPr>
        <w:t xml:space="preserve"> specifically on </w:t>
      </w:r>
      <w:r w:rsidR="000D6067" w:rsidRPr="000D6067">
        <w:rPr>
          <w:color w:val="000000" w:themeColor="text1"/>
          <w:highlight w:val="yellow"/>
        </w:rPr>
        <w:lastRenderedPageBreak/>
        <w:t>perceptions of DV by examining the differences between men an</w:t>
      </w:r>
      <w:r w:rsidR="00FE7468">
        <w:rPr>
          <w:color w:val="000000" w:themeColor="text1"/>
          <w:highlight w:val="yellow"/>
        </w:rPr>
        <w:t>d</w:t>
      </w:r>
      <w:r w:rsidR="000D6067" w:rsidRPr="000D6067">
        <w:rPr>
          <w:color w:val="000000" w:themeColor="text1"/>
          <w:highlight w:val="yellow"/>
        </w:rPr>
        <w:t xml:space="preserve"> women (Ahmad et al., 2017). The authors found similarities in perceptions concerning sexual abuse, but differences in the justification of violence in a marital relationship. In another study by Ahmad et al. (2004) concerning patriarchal beliefs, 53% of women approved patriarchal beliefs and did not acknowledge their own experiences of violence</w:t>
      </w:r>
      <w:r w:rsidR="000D6067">
        <w:rPr>
          <w:color w:val="000000" w:themeColor="text1"/>
        </w:rPr>
        <w:t xml:space="preserve">. </w:t>
      </w:r>
      <w:r w:rsidR="000D6067" w:rsidRPr="000D6067">
        <w:rPr>
          <w:color w:val="000000" w:themeColor="text1"/>
          <w:highlight w:val="yellow"/>
        </w:rPr>
        <w:t xml:space="preserve">In </w:t>
      </w:r>
      <w:r w:rsidR="00BE254A">
        <w:rPr>
          <w:color w:val="000000" w:themeColor="text1"/>
          <w:highlight w:val="yellow"/>
        </w:rPr>
        <w:t>a</w:t>
      </w:r>
      <w:r w:rsidR="00BE254A" w:rsidRPr="000D6067">
        <w:rPr>
          <w:color w:val="000000" w:themeColor="text1"/>
          <w:highlight w:val="yellow"/>
        </w:rPr>
        <w:t xml:space="preserve"> </w:t>
      </w:r>
      <w:r w:rsidR="000D6067" w:rsidRPr="000D6067">
        <w:rPr>
          <w:color w:val="000000" w:themeColor="text1"/>
          <w:highlight w:val="yellow"/>
        </w:rPr>
        <w:t>study by Rai et al. (in press), authors found that women attributed more ca</w:t>
      </w:r>
      <w:r w:rsidR="00A84A0A">
        <w:rPr>
          <w:color w:val="000000" w:themeColor="text1"/>
          <w:highlight w:val="yellow"/>
        </w:rPr>
        <w:t>us</w:t>
      </w:r>
      <w:r w:rsidR="000D6067" w:rsidRPr="000D6067">
        <w:rPr>
          <w:color w:val="000000" w:themeColor="text1"/>
          <w:highlight w:val="yellow"/>
        </w:rPr>
        <w:t xml:space="preserve">es for DV compared to men, </w:t>
      </w:r>
      <w:r w:rsidR="00A84A0A">
        <w:rPr>
          <w:color w:val="000000" w:themeColor="text1"/>
          <w:highlight w:val="yellow"/>
        </w:rPr>
        <w:t>perhaps</w:t>
      </w:r>
      <w:r w:rsidR="000D6067" w:rsidRPr="000D6067">
        <w:rPr>
          <w:color w:val="000000" w:themeColor="text1"/>
          <w:highlight w:val="yellow"/>
        </w:rPr>
        <w:t xml:space="preserve"> because they may have experienced a </w:t>
      </w:r>
      <w:r w:rsidR="00085B61">
        <w:rPr>
          <w:color w:val="000000" w:themeColor="text1"/>
          <w:highlight w:val="yellow"/>
        </w:rPr>
        <w:t>greater</w:t>
      </w:r>
      <w:r w:rsidR="000D6067" w:rsidRPr="000D6067">
        <w:rPr>
          <w:color w:val="000000" w:themeColor="text1"/>
          <w:highlight w:val="yellow"/>
        </w:rPr>
        <w:t xml:space="preserve"> disadvantage given their gender, gender-role expectations</w:t>
      </w:r>
      <w:r w:rsidR="00085B61">
        <w:rPr>
          <w:color w:val="000000" w:themeColor="text1"/>
          <w:highlight w:val="yellow"/>
        </w:rPr>
        <w:t>,</w:t>
      </w:r>
      <w:r w:rsidR="000D6067" w:rsidRPr="000D6067">
        <w:rPr>
          <w:color w:val="000000" w:themeColor="text1"/>
          <w:highlight w:val="yellow"/>
        </w:rPr>
        <w:t xml:space="preserve"> and abusive encounters. Therefore, because of a clear demarcation between the roles of men and women, violence </w:t>
      </w:r>
      <w:r w:rsidR="00085B61">
        <w:rPr>
          <w:color w:val="000000" w:themeColor="text1"/>
          <w:highlight w:val="yellow"/>
        </w:rPr>
        <w:t xml:space="preserve">is frequently </w:t>
      </w:r>
      <w:r w:rsidR="006A69F6">
        <w:rPr>
          <w:color w:val="000000" w:themeColor="text1"/>
          <w:highlight w:val="yellow"/>
        </w:rPr>
        <w:t>justified</w:t>
      </w:r>
      <w:r w:rsidR="000D6067" w:rsidRPr="000D6067">
        <w:rPr>
          <w:color w:val="000000" w:themeColor="text1"/>
          <w:highlight w:val="yellow"/>
        </w:rPr>
        <w:t xml:space="preserve"> within the SA culture, especially against women (Ahmad-Stout et al., 2021).</w:t>
      </w:r>
      <w:r w:rsidR="00B313AC">
        <w:rPr>
          <w:color w:val="000000" w:themeColor="text1"/>
          <w:highlight w:val="yellow"/>
        </w:rPr>
        <w:t xml:space="preserve"> </w:t>
      </w:r>
      <w:r w:rsidR="00C01302">
        <w:rPr>
          <w:color w:val="000000" w:themeColor="text1"/>
          <w:highlight w:val="yellow"/>
        </w:rPr>
        <w:t>Further</w:t>
      </w:r>
      <w:r w:rsidR="007E5BE3">
        <w:rPr>
          <w:color w:val="000000" w:themeColor="text1"/>
          <w:highlight w:val="yellow"/>
        </w:rPr>
        <w:t>, the patrilocal nature of SA marriages calls for women</w:t>
      </w:r>
      <w:r w:rsidR="00585DC6">
        <w:rPr>
          <w:color w:val="000000" w:themeColor="text1"/>
          <w:highlight w:val="yellow"/>
        </w:rPr>
        <w:t xml:space="preserve"> </w:t>
      </w:r>
      <w:r w:rsidR="002B239E">
        <w:rPr>
          <w:color w:val="000000" w:themeColor="text1"/>
          <w:highlight w:val="yellow"/>
        </w:rPr>
        <w:t>to often</w:t>
      </w:r>
      <w:r w:rsidR="007E5BE3">
        <w:rPr>
          <w:color w:val="000000" w:themeColor="text1"/>
          <w:highlight w:val="yellow"/>
        </w:rPr>
        <w:t xml:space="preserve"> move in with in-laws </w:t>
      </w:r>
      <w:r w:rsidR="00585DC6">
        <w:rPr>
          <w:color w:val="000000" w:themeColor="text1"/>
          <w:highlight w:val="yellow"/>
        </w:rPr>
        <w:t>potentially</w:t>
      </w:r>
      <w:r w:rsidR="007E5BE3">
        <w:rPr>
          <w:color w:val="000000" w:themeColor="text1"/>
          <w:highlight w:val="yellow"/>
        </w:rPr>
        <w:t xml:space="preserve"> influenc</w:t>
      </w:r>
      <w:r w:rsidR="00585DC6">
        <w:rPr>
          <w:color w:val="000000" w:themeColor="text1"/>
          <w:highlight w:val="yellow"/>
        </w:rPr>
        <w:t>ing</w:t>
      </w:r>
      <w:r w:rsidR="007E5BE3">
        <w:rPr>
          <w:color w:val="000000" w:themeColor="text1"/>
          <w:highlight w:val="yellow"/>
        </w:rPr>
        <w:t xml:space="preserve"> their experiences of </w:t>
      </w:r>
      <w:proofErr w:type="gramStart"/>
      <w:r w:rsidR="007E5BE3">
        <w:rPr>
          <w:color w:val="000000" w:themeColor="text1"/>
          <w:highlight w:val="yellow"/>
        </w:rPr>
        <w:t>in-laws</w:t>
      </w:r>
      <w:proofErr w:type="gramEnd"/>
      <w:r w:rsidR="007E5BE3">
        <w:rPr>
          <w:color w:val="000000" w:themeColor="text1"/>
          <w:highlight w:val="yellow"/>
        </w:rPr>
        <w:t xml:space="preserve"> abuse (Mahapatra </w:t>
      </w:r>
      <w:r w:rsidR="00351106">
        <w:rPr>
          <w:color w:val="000000" w:themeColor="text1"/>
          <w:highlight w:val="yellow"/>
        </w:rPr>
        <w:t>and</w:t>
      </w:r>
      <w:r w:rsidR="007E5BE3">
        <w:rPr>
          <w:color w:val="000000" w:themeColor="text1"/>
          <w:highlight w:val="yellow"/>
        </w:rPr>
        <w:t xml:space="preserve"> Rai, 2019; Raj et al., 2006). </w:t>
      </w:r>
      <w:r w:rsidR="000D6067" w:rsidRPr="000D6067">
        <w:rPr>
          <w:color w:val="000000" w:themeColor="text1"/>
          <w:highlight w:val="yellow"/>
        </w:rPr>
        <w:t>The</w:t>
      </w:r>
      <w:r w:rsidR="000F37CF">
        <w:rPr>
          <w:color w:val="000000" w:themeColor="text1"/>
          <w:highlight w:val="yellow"/>
        </w:rPr>
        <w:t>se</w:t>
      </w:r>
      <w:r w:rsidR="000D6067" w:rsidRPr="000D6067">
        <w:rPr>
          <w:color w:val="000000" w:themeColor="text1"/>
          <w:highlight w:val="yellow"/>
        </w:rPr>
        <w:t xml:space="preserve"> differences in expectations </w:t>
      </w:r>
      <w:r w:rsidR="006D3078">
        <w:rPr>
          <w:color w:val="000000" w:themeColor="text1"/>
          <w:highlight w:val="yellow"/>
        </w:rPr>
        <w:t xml:space="preserve">and </w:t>
      </w:r>
      <w:r w:rsidR="006D3078" w:rsidRPr="006D3078">
        <w:rPr>
          <w:color w:val="000000" w:themeColor="text1"/>
          <w:highlight w:val="yellow"/>
        </w:rPr>
        <w:t>experiences can account for varied perceptions of abuse.</w:t>
      </w:r>
      <w:r w:rsidR="006D3078">
        <w:rPr>
          <w:color w:val="000000" w:themeColor="text1"/>
        </w:rPr>
        <w:t xml:space="preserve"> </w:t>
      </w:r>
      <w:r w:rsidR="000D6067">
        <w:rPr>
          <w:color w:val="000000" w:themeColor="text1"/>
        </w:rPr>
        <w:t xml:space="preserve"> </w:t>
      </w:r>
    </w:p>
    <w:p w14:paraId="676121FA" w14:textId="5B587BB9" w:rsidR="31ACC919" w:rsidRDefault="00D33790" w:rsidP="31ACC919">
      <w:pPr>
        <w:spacing w:line="480" w:lineRule="auto"/>
        <w:rPr>
          <w:b/>
          <w:bCs/>
          <w:color w:val="000000" w:themeColor="text1"/>
        </w:rPr>
      </w:pPr>
      <w:r w:rsidRPr="00D33790">
        <w:rPr>
          <w:b/>
          <w:bCs/>
          <w:color w:val="000000" w:themeColor="text1"/>
        </w:rPr>
        <w:t>South Asian Culture</w:t>
      </w:r>
      <w:r w:rsidR="004C50EF">
        <w:rPr>
          <w:b/>
          <w:bCs/>
          <w:color w:val="000000" w:themeColor="text1"/>
        </w:rPr>
        <w:t>,</w:t>
      </w:r>
      <w:r w:rsidRPr="00D33790">
        <w:rPr>
          <w:b/>
          <w:bCs/>
          <w:color w:val="000000" w:themeColor="text1"/>
        </w:rPr>
        <w:t xml:space="preserve"> In-laws Abuse</w:t>
      </w:r>
      <w:r w:rsidR="00476CF7">
        <w:rPr>
          <w:b/>
          <w:bCs/>
          <w:color w:val="000000" w:themeColor="text1"/>
        </w:rPr>
        <w:t xml:space="preserve"> and the Need for Culturally Responsive Measures</w:t>
      </w:r>
    </w:p>
    <w:p w14:paraId="657F047B" w14:textId="3E39BBDF" w:rsidR="000E6921" w:rsidRDefault="00D33790" w:rsidP="00B33826">
      <w:pPr>
        <w:spacing w:line="480" w:lineRule="auto"/>
        <w:ind w:firstLine="720"/>
        <w:rPr>
          <w:color w:val="000000" w:themeColor="text1"/>
        </w:rPr>
      </w:pPr>
      <w:r w:rsidRPr="00D33790">
        <w:rPr>
          <w:color w:val="000000" w:themeColor="text1"/>
        </w:rPr>
        <w:t>Given the complexity of the SA culture along with the structural impediments, DV can extend to abuse by in-laws in the SA community</w:t>
      </w:r>
      <w:r w:rsidR="00ED4B83">
        <w:rPr>
          <w:color w:val="000000" w:themeColor="text1"/>
        </w:rPr>
        <w:t xml:space="preserve">. </w:t>
      </w:r>
      <w:r w:rsidRPr="00D33790">
        <w:rPr>
          <w:color w:val="000000" w:themeColor="text1"/>
        </w:rPr>
        <w:t xml:space="preserve">SA immigrants may be living with their in-laws and extended family members in the U.S. (Soglin et al., 2020; </w:t>
      </w:r>
      <w:r w:rsidR="00AE2947" w:rsidRPr="00AE2947">
        <w:rPr>
          <w:color w:val="000000" w:themeColor="text1"/>
          <w:highlight w:val="yellow"/>
        </w:rPr>
        <w:t>Rai, 2020</w:t>
      </w:r>
      <w:r w:rsidR="005C13BD">
        <w:rPr>
          <w:color w:val="000000" w:themeColor="text1"/>
          <w:highlight w:val="yellow"/>
        </w:rPr>
        <w:t>b</w:t>
      </w:r>
      <w:r w:rsidR="00AE2947" w:rsidRPr="00AE2947">
        <w:rPr>
          <w:color w:val="000000" w:themeColor="text1"/>
          <w:highlight w:val="yellow"/>
        </w:rPr>
        <w:t>).</w:t>
      </w:r>
      <w:r w:rsidRPr="00D33790">
        <w:rPr>
          <w:color w:val="000000" w:themeColor="text1"/>
        </w:rPr>
        <w:t xml:space="preserve"> </w:t>
      </w:r>
      <w:r w:rsidR="00016CEB" w:rsidRPr="00016CEB">
        <w:rPr>
          <w:color w:val="000000" w:themeColor="text1"/>
          <w:highlight w:val="yellow"/>
        </w:rPr>
        <w:t xml:space="preserve">Although, both men and women can experience </w:t>
      </w:r>
      <w:r w:rsidR="00016CEB" w:rsidRPr="00BE254A">
        <w:rPr>
          <w:color w:val="000000" w:themeColor="text1"/>
          <w:highlight w:val="yellow"/>
        </w:rPr>
        <w:t>victimization</w:t>
      </w:r>
      <w:r w:rsidR="00BE254A" w:rsidRPr="00BE254A">
        <w:rPr>
          <w:color w:val="000000" w:themeColor="text1"/>
          <w:highlight w:val="yellow"/>
        </w:rPr>
        <w:t xml:space="preserve"> (Rai </w:t>
      </w:r>
      <w:r w:rsidR="00351106">
        <w:rPr>
          <w:color w:val="000000" w:themeColor="text1"/>
          <w:highlight w:val="yellow"/>
        </w:rPr>
        <w:t>and</w:t>
      </w:r>
      <w:r w:rsidR="00BE254A" w:rsidRPr="00BE254A">
        <w:rPr>
          <w:color w:val="000000" w:themeColor="text1"/>
          <w:highlight w:val="yellow"/>
        </w:rPr>
        <w:t xml:space="preserve"> Choi, 2021)</w:t>
      </w:r>
      <w:r w:rsidR="00016CEB" w:rsidRPr="00BE254A">
        <w:rPr>
          <w:color w:val="000000" w:themeColor="text1"/>
          <w:highlight w:val="yellow"/>
        </w:rPr>
        <w:t>,</w:t>
      </w:r>
      <w:r w:rsidR="00016CEB">
        <w:rPr>
          <w:color w:val="000000" w:themeColor="text1"/>
        </w:rPr>
        <w:t xml:space="preserve"> t</w:t>
      </w:r>
      <w:r w:rsidRPr="00D33790">
        <w:rPr>
          <w:color w:val="000000" w:themeColor="text1"/>
        </w:rPr>
        <w:t>he higher status occupied by the male partner’s parents may jeopardize the position of the daughter-in-la</w:t>
      </w:r>
      <w:r w:rsidR="004C50EF">
        <w:rPr>
          <w:color w:val="000000" w:themeColor="text1"/>
        </w:rPr>
        <w:t xml:space="preserve">w </w:t>
      </w:r>
      <w:r w:rsidRPr="00D33790">
        <w:rPr>
          <w:color w:val="000000" w:themeColor="text1"/>
        </w:rPr>
        <w:t>in the family</w:t>
      </w:r>
      <w:r w:rsidRPr="00F93AB5">
        <w:rPr>
          <w:color w:val="000000" w:themeColor="text1"/>
        </w:rPr>
        <w:t xml:space="preserve">. </w:t>
      </w:r>
      <w:r w:rsidR="007C2330">
        <w:rPr>
          <w:color w:val="000000" w:themeColor="text1"/>
          <w:highlight w:val="yellow"/>
        </w:rPr>
        <w:t>D</w:t>
      </w:r>
      <w:r w:rsidR="000E6921" w:rsidRPr="000E6921">
        <w:rPr>
          <w:color w:val="000000" w:themeColor="text1"/>
          <w:highlight w:val="yellow"/>
        </w:rPr>
        <w:t>aughter</w:t>
      </w:r>
      <w:r w:rsidR="00F93AB5">
        <w:rPr>
          <w:color w:val="000000" w:themeColor="text1"/>
          <w:highlight w:val="yellow"/>
        </w:rPr>
        <w:t>s</w:t>
      </w:r>
      <w:r w:rsidR="000E6921" w:rsidRPr="000E6921">
        <w:rPr>
          <w:color w:val="000000" w:themeColor="text1"/>
          <w:highlight w:val="yellow"/>
        </w:rPr>
        <w:t xml:space="preserve">-in-law </w:t>
      </w:r>
      <w:r w:rsidR="007C2330">
        <w:rPr>
          <w:color w:val="000000" w:themeColor="text1"/>
          <w:highlight w:val="yellow"/>
        </w:rPr>
        <w:t xml:space="preserve">are </w:t>
      </w:r>
      <w:r w:rsidR="000E6921" w:rsidRPr="000E6921">
        <w:rPr>
          <w:color w:val="000000" w:themeColor="text1"/>
          <w:highlight w:val="yellow"/>
        </w:rPr>
        <w:t>expected to be an ideal wife, caretaker</w:t>
      </w:r>
      <w:r w:rsidR="00732C4E">
        <w:rPr>
          <w:color w:val="000000" w:themeColor="text1"/>
          <w:highlight w:val="yellow"/>
        </w:rPr>
        <w:t>,</w:t>
      </w:r>
      <w:r w:rsidR="000E6921" w:rsidRPr="000E6921">
        <w:rPr>
          <w:color w:val="000000" w:themeColor="text1"/>
          <w:highlight w:val="yellow"/>
        </w:rPr>
        <w:t xml:space="preserve"> and subservient to the demands of </w:t>
      </w:r>
      <w:r w:rsidR="00F93AB5">
        <w:rPr>
          <w:color w:val="000000" w:themeColor="text1"/>
          <w:highlight w:val="yellow"/>
        </w:rPr>
        <w:t>their</w:t>
      </w:r>
      <w:r w:rsidR="000E6921" w:rsidRPr="000E6921">
        <w:rPr>
          <w:color w:val="000000" w:themeColor="text1"/>
          <w:highlight w:val="yellow"/>
        </w:rPr>
        <w:t xml:space="preserve"> husband and in-laws (Goel, 2005; Rai </w:t>
      </w:r>
      <w:r w:rsidR="00351106">
        <w:rPr>
          <w:color w:val="000000" w:themeColor="text1"/>
          <w:highlight w:val="yellow"/>
        </w:rPr>
        <w:t>and</w:t>
      </w:r>
      <w:r w:rsidR="000E6921" w:rsidRPr="000E6921">
        <w:rPr>
          <w:color w:val="000000" w:themeColor="text1"/>
          <w:highlight w:val="yellow"/>
        </w:rPr>
        <w:t xml:space="preserve"> Choi, 2018). Additionally, </w:t>
      </w:r>
      <w:r w:rsidR="00A874AF">
        <w:rPr>
          <w:color w:val="000000" w:themeColor="text1"/>
          <w:highlight w:val="yellow"/>
        </w:rPr>
        <w:t xml:space="preserve">due to the </w:t>
      </w:r>
      <w:r w:rsidR="000E6921" w:rsidRPr="000E6921">
        <w:rPr>
          <w:color w:val="000000" w:themeColor="text1"/>
          <w:highlight w:val="yellow"/>
        </w:rPr>
        <w:t>gender disparity and unequal power structure in SA families</w:t>
      </w:r>
      <w:r w:rsidR="00A874AF">
        <w:rPr>
          <w:color w:val="000000" w:themeColor="text1"/>
          <w:highlight w:val="yellow"/>
        </w:rPr>
        <w:t>,</w:t>
      </w:r>
      <w:r w:rsidR="00A874AF">
        <w:rPr>
          <w:color w:val="000000" w:themeColor="text1"/>
        </w:rPr>
        <w:t xml:space="preserve"> </w:t>
      </w:r>
      <w:r w:rsidR="00A874AF" w:rsidRPr="00C076FF">
        <w:rPr>
          <w:color w:val="000000" w:themeColor="text1"/>
          <w:highlight w:val="yellow"/>
        </w:rPr>
        <w:t>the daughter</w:t>
      </w:r>
      <w:r w:rsidR="006E7FE5">
        <w:rPr>
          <w:color w:val="000000" w:themeColor="text1"/>
          <w:highlight w:val="yellow"/>
        </w:rPr>
        <w:t>s</w:t>
      </w:r>
      <w:r w:rsidR="00A874AF" w:rsidRPr="00C076FF">
        <w:rPr>
          <w:color w:val="000000" w:themeColor="text1"/>
          <w:highlight w:val="yellow"/>
        </w:rPr>
        <w:t>-in-law</w:t>
      </w:r>
      <w:r w:rsidR="000E6921" w:rsidRPr="00C076FF">
        <w:rPr>
          <w:color w:val="000000" w:themeColor="text1"/>
          <w:highlight w:val="yellow"/>
        </w:rPr>
        <w:t xml:space="preserve"> </w:t>
      </w:r>
      <w:r w:rsidR="006E7FE5">
        <w:rPr>
          <w:color w:val="000000" w:themeColor="text1"/>
          <w:highlight w:val="yellow"/>
        </w:rPr>
        <w:t>are</w:t>
      </w:r>
      <w:r w:rsidR="00C076FF" w:rsidRPr="00C076FF">
        <w:rPr>
          <w:color w:val="000000" w:themeColor="text1"/>
          <w:highlight w:val="yellow"/>
        </w:rPr>
        <w:t xml:space="preserve"> unfairly disadvantaged. The patrilocal nature of SA marriages often requires the wife to move in with the </w:t>
      </w:r>
      <w:r w:rsidR="00C076FF" w:rsidRPr="00C076FF">
        <w:rPr>
          <w:color w:val="000000" w:themeColor="text1"/>
          <w:highlight w:val="yellow"/>
        </w:rPr>
        <w:lastRenderedPageBreak/>
        <w:t xml:space="preserve">in-laws (Raj et al., 2006; Mahapatra </w:t>
      </w:r>
      <w:r w:rsidR="00351106">
        <w:rPr>
          <w:color w:val="000000" w:themeColor="text1"/>
          <w:highlight w:val="yellow"/>
        </w:rPr>
        <w:t>and</w:t>
      </w:r>
      <w:r w:rsidR="00C076FF" w:rsidRPr="00C076FF">
        <w:rPr>
          <w:color w:val="000000" w:themeColor="text1"/>
          <w:highlight w:val="yellow"/>
        </w:rPr>
        <w:t xml:space="preserve"> Rai, 2019), reducing her power in the household.</w:t>
      </w:r>
      <w:r w:rsidR="00C076FF">
        <w:rPr>
          <w:color w:val="000000" w:themeColor="text1"/>
        </w:rPr>
        <w:t xml:space="preserve"> </w:t>
      </w:r>
      <w:r w:rsidR="00C076FF" w:rsidRPr="00016CEB">
        <w:rPr>
          <w:color w:val="000000" w:themeColor="text1"/>
          <w:highlight w:val="yellow"/>
        </w:rPr>
        <w:t>Ultimately, “Izzat”</w:t>
      </w:r>
      <w:r w:rsidR="00E6499E">
        <w:rPr>
          <w:color w:val="000000" w:themeColor="text1"/>
          <w:highlight w:val="yellow"/>
        </w:rPr>
        <w:t>,</w:t>
      </w:r>
      <w:r w:rsidR="00C076FF" w:rsidRPr="00016CEB">
        <w:rPr>
          <w:color w:val="000000" w:themeColor="text1"/>
          <w:highlight w:val="yellow"/>
        </w:rPr>
        <w:t xml:space="preserve"> or the family’s reputation</w:t>
      </w:r>
      <w:r w:rsidR="0089603A">
        <w:rPr>
          <w:color w:val="000000" w:themeColor="text1"/>
          <w:highlight w:val="yellow"/>
        </w:rPr>
        <w:t>,</w:t>
      </w:r>
      <w:r w:rsidR="00C076FF" w:rsidRPr="00016CEB">
        <w:rPr>
          <w:color w:val="000000" w:themeColor="text1"/>
          <w:highlight w:val="yellow"/>
        </w:rPr>
        <w:t xml:space="preserve"> is of priority to SA families, </w:t>
      </w:r>
      <w:r w:rsidR="0089603A">
        <w:rPr>
          <w:color w:val="000000" w:themeColor="text1"/>
          <w:highlight w:val="yellow"/>
        </w:rPr>
        <w:t>especially</w:t>
      </w:r>
      <w:r w:rsidR="00C076FF" w:rsidRPr="00016CEB">
        <w:rPr>
          <w:color w:val="000000" w:themeColor="text1"/>
          <w:highlight w:val="yellow"/>
        </w:rPr>
        <w:t xml:space="preserve"> for women (Bhandari, 2018; Oxford learner’s dict</w:t>
      </w:r>
      <w:r w:rsidR="00016CEB" w:rsidRPr="00016CEB">
        <w:rPr>
          <w:color w:val="000000" w:themeColor="text1"/>
          <w:highlight w:val="yellow"/>
        </w:rPr>
        <w:t xml:space="preserve">ionary, n.d.). Hence, women may continue to be victimized without the opportunity to disclose it because of their life-long socialization into protecting family honor. Similarly, due to the stigma attached to divorce </w:t>
      </w:r>
      <w:r w:rsidR="00CC3F81">
        <w:rPr>
          <w:color w:val="000000" w:themeColor="text1"/>
          <w:highlight w:val="yellow"/>
        </w:rPr>
        <w:t>especially</w:t>
      </w:r>
      <w:r w:rsidR="00016CEB" w:rsidRPr="00016CEB">
        <w:rPr>
          <w:color w:val="000000" w:themeColor="text1"/>
          <w:highlight w:val="yellow"/>
        </w:rPr>
        <w:t xml:space="preserve"> for women, they may have </w:t>
      </w:r>
      <w:r w:rsidR="00B239CA">
        <w:rPr>
          <w:color w:val="000000" w:themeColor="text1"/>
          <w:highlight w:val="yellow"/>
        </w:rPr>
        <w:t>few</w:t>
      </w:r>
      <w:r w:rsidR="00016CEB" w:rsidRPr="00016CEB">
        <w:rPr>
          <w:color w:val="000000" w:themeColor="text1"/>
          <w:highlight w:val="yellow"/>
        </w:rPr>
        <w:t xml:space="preserve"> </w:t>
      </w:r>
      <w:r w:rsidR="00B239CA" w:rsidRPr="00016CEB">
        <w:rPr>
          <w:color w:val="000000" w:themeColor="text1"/>
          <w:highlight w:val="yellow"/>
        </w:rPr>
        <w:t>opportunit</w:t>
      </w:r>
      <w:r w:rsidR="00B239CA">
        <w:rPr>
          <w:color w:val="000000" w:themeColor="text1"/>
          <w:highlight w:val="yellow"/>
        </w:rPr>
        <w:t>ies</w:t>
      </w:r>
      <w:r w:rsidR="00B239CA" w:rsidRPr="00016CEB">
        <w:rPr>
          <w:color w:val="000000" w:themeColor="text1"/>
          <w:highlight w:val="yellow"/>
        </w:rPr>
        <w:t xml:space="preserve"> </w:t>
      </w:r>
      <w:r w:rsidR="00016CEB" w:rsidRPr="00016CEB">
        <w:rPr>
          <w:color w:val="000000" w:themeColor="text1"/>
          <w:highlight w:val="yellow"/>
        </w:rPr>
        <w:t>to escape their abusive relationships (Ahmad-Stout et al., 2021; Sabri</w:t>
      </w:r>
      <w:r w:rsidR="004C0BBB">
        <w:rPr>
          <w:color w:val="000000" w:themeColor="text1"/>
          <w:highlight w:val="yellow"/>
        </w:rPr>
        <w:t xml:space="preserve">, </w:t>
      </w:r>
      <w:proofErr w:type="spellStart"/>
      <w:r w:rsidR="004C0BBB" w:rsidRPr="00F5660D">
        <w:rPr>
          <w:color w:val="000000" w:themeColor="text1"/>
          <w:highlight w:val="yellow"/>
        </w:rPr>
        <w:t>Simonet</w:t>
      </w:r>
      <w:proofErr w:type="spellEnd"/>
      <w:r w:rsidR="004C0BBB">
        <w:rPr>
          <w:color w:val="000000" w:themeColor="text1"/>
          <w:highlight w:val="yellow"/>
        </w:rPr>
        <w:t xml:space="preserve"> and </w:t>
      </w:r>
      <w:r w:rsidR="004C0BBB" w:rsidRPr="00F5660D">
        <w:rPr>
          <w:color w:val="000000" w:themeColor="text1"/>
          <w:highlight w:val="yellow"/>
        </w:rPr>
        <w:t>Campbell</w:t>
      </w:r>
      <w:r w:rsidR="004C0BBB" w:rsidRPr="00016CEB">
        <w:rPr>
          <w:color w:val="000000" w:themeColor="text1"/>
          <w:highlight w:val="yellow"/>
        </w:rPr>
        <w:t xml:space="preserve"> </w:t>
      </w:r>
      <w:r w:rsidR="00016CEB" w:rsidRPr="00016CEB">
        <w:rPr>
          <w:color w:val="000000" w:themeColor="text1"/>
          <w:highlight w:val="yellow"/>
        </w:rPr>
        <w:t>2018).</w:t>
      </w:r>
      <w:r w:rsidR="00016CEB">
        <w:rPr>
          <w:color w:val="000000" w:themeColor="text1"/>
        </w:rPr>
        <w:t xml:space="preserve"> </w:t>
      </w:r>
    </w:p>
    <w:p w14:paraId="3857C6CE" w14:textId="516CAAB9" w:rsidR="00195756" w:rsidRPr="00DD4423" w:rsidRDefault="00D33790" w:rsidP="00B33826">
      <w:pPr>
        <w:spacing w:line="480" w:lineRule="auto"/>
        <w:ind w:firstLine="720"/>
        <w:rPr>
          <w:color w:val="000000" w:themeColor="text1"/>
        </w:rPr>
      </w:pPr>
      <w:r w:rsidRPr="00D33790">
        <w:rPr>
          <w:color w:val="000000" w:themeColor="text1"/>
        </w:rPr>
        <w:t>Direct involvement by in-laws can include physical, verbal, or mental abuse</w:t>
      </w:r>
      <w:r w:rsidR="00B33826">
        <w:rPr>
          <w:color w:val="000000" w:themeColor="text1"/>
        </w:rPr>
        <w:t xml:space="preserve"> (</w:t>
      </w:r>
      <w:r w:rsidR="00B33826" w:rsidRPr="00D33790">
        <w:rPr>
          <w:color w:val="000000" w:themeColor="text1"/>
        </w:rPr>
        <w:t>Mirza, 2017</w:t>
      </w:r>
      <w:r w:rsidR="00B33826">
        <w:rPr>
          <w:color w:val="000000" w:themeColor="text1"/>
        </w:rPr>
        <w:t>)</w:t>
      </w:r>
      <w:r w:rsidRPr="00D33790">
        <w:rPr>
          <w:color w:val="000000" w:themeColor="text1"/>
        </w:rPr>
        <w:t>.</w:t>
      </w:r>
      <w:r w:rsidR="00B33826">
        <w:rPr>
          <w:color w:val="000000" w:themeColor="text1"/>
        </w:rPr>
        <w:t xml:space="preserve"> </w:t>
      </w:r>
      <w:r w:rsidR="00B33826" w:rsidRPr="004C50EF">
        <w:rPr>
          <w:color w:val="000000" w:themeColor="text1"/>
        </w:rPr>
        <w:t>In-laws may engage in coercive control</w:t>
      </w:r>
      <w:r w:rsidR="001F6697">
        <w:rPr>
          <w:color w:val="000000" w:themeColor="text1"/>
        </w:rPr>
        <w:t xml:space="preserve"> (Stark, </w:t>
      </w:r>
      <w:r w:rsidR="001F6697" w:rsidRPr="00C21EC1">
        <w:t>2007</w:t>
      </w:r>
      <w:r w:rsidR="00C21EC1">
        <w:t xml:space="preserve">) </w:t>
      </w:r>
      <w:r w:rsidR="00B33826" w:rsidRPr="00C21EC1">
        <w:t>through</w:t>
      </w:r>
      <w:r w:rsidR="00B33826" w:rsidRPr="004C50EF">
        <w:rPr>
          <w:color w:val="000000" w:themeColor="text1"/>
        </w:rPr>
        <w:t xml:space="preserve"> restricting the survivor’s access to food, freedom, money, health care, and other resources (Ahmad-Stout et al., 2021). </w:t>
      </w:r>
      <w:r w:rsidRPr="004C50EF">
        <w:rPr>
          <w:color w:val="000000" w:themeColor="text1"/>
        </w:rPr>
        <w:t xml:space="preserve">Indirect involvement can include domestic despotism or control, </w:t>
      </w:r>
      <w:r w:rsidR="00ED4B83">
        <w:rPr>
          <w:color w:val="000000" w:themeColor="text1"/>
        </w:rPr>
        <w:t>control</w:t>
      </w:r>
      <w:r w:rsidRPr="004C50EF">
        <w:rPr>
          <w:color w:val="000000" w:themeColor="text1"/>
        </w:rPr>
        <w:t xml:space="preserve"> over marital relations</w:t>
      </w:r>
      <w:r w:rsidR="00506A56" w:rsidRPr="004C50EF">
        <w:rPr>
          <w:color w:val="000000" w:themeColor="text1"/>
        </w:rPr>
        <w:t xml:space="preserve">, </w:t>
      </w:r>
      <w:r w:rsidRPr="004C50EF">
        <w:rPr>
          <w:color w:val="000000" w:themeColor="text1"/>
        </w:rPr>
        <w:t>ear-filling by turning the</w:t>
      </w:r>
      <w:r w:rsidRPr="00D33790">
        <w:rPr>
          <w:color w:val="000000" w:themeColor="text1"/>
        </w:rPr>
        <w:t xml:space="preserve"> son against the daughter-in</w:t>
      </w:r>
      <w:r w:rsidRPr="00DD4423">
        <w:rPr>
          <w:color w:val="000000" w:themeColor="text1"/>
        </w:rPr>
        <w:t>-law</w:t>
      </w:r>
      <w:r w:rsidR="00B33826" w:rsidRPr="00DD4423">
        <w:rPr>
          <w:color w:val="000000" w:themeColor="text1"/>
        </w:rPr>
        <w:t>, or normalizing the abuse</w:t>
      </w:r>
      <w:r w:rsidRPr="00DD4423">
        <w:rPr>
          <w:color w:val="000000" w:themeColor="text1"/>
        </w:rPr>
        <w:t xml:space="preserve"> (</w:t>
      </w:r>
      <w:r w:rsidR="00B33826" w:rsidRPr="00DD4423">
        <w:rPr>
          <w:color w:val="000000" w:themeColor="text1"/>
        </w:rPr>
        <w:t xml:space="preserve">Ahmad-Stout et al., 2021; </w:t>
      </w:r>
      <w:r w:rsidRPr="00DD4423">
        <w:rPr>
          <w:color w:val="000000" w:themeColor="text1"/>
        </w:rPr>
        <w:t xml:space="preserve">Mirza, 2017). Scholars define control of marital relations as dictating how and when wives spend time with their husbands (Mirza, 2017; </w:t>
      </w:r>
      <w:proofErr w:type="spellStart"/>
      <w:r w:rsidRPr="00DD4423">
        <w:rPr>
          <w:color w:val="000000" w:themeColor="text1"/>
        </w:rPr>
        <w:t>Ragavan</w:t>
      </w:r>
      <w:proofErr w:type="spellEnd"/>
      <w:r w:rsidRPr="00DD4423">
        <w:rPr>
          <w:color w:val="000000" w:themeColor="text1"/>
        </w:rPr>
        <w:t xml:space="preserve"> </w:t>
      </w:r>
      <w:r w:rsidR="00351106">
        <w:rPr>
          <w:color w:val="000000" w:themeColor="text1"/>
        </w:rPr>
        <w:t>and</w:t>
      </w:r>
      <w:r w:rsidRPr="00DD4423">
        <w:rPr>
          <w:color w:val="000000" w:themeColor="text1"/>
        </w:rPr>
        <w:t xml:space="preserve"> Iyengar, 20</w:t>
      </w:r>
      <w:r w:rsidR="009024E6" w:rsidRPr="00DD4423">
        <w:rPr>
          <w:color w:val="000000" w:themeColor="text1"/>
        </w:rPr>
        <w:t>20</w:t>
      </w:r>
      <w:r w:rsidRPr="00DD4423">
        <w:rPr>
          <w:color w:val="000000" w:themeColor="text1"/>
        </w:rPr>
        <w:t xml:space="preserve">). Ear filling can occur when the victim’s in-laws degrade the victim to the victim’s spouse, causing </w:t>
      </w:r>
      <w:r w:rsidR="00067FDC" w:rsidRPr="00DD4423">
        <w:rPr>
          <w:color w:val="000000" w:themeColor="text1"/>
        </w:rPr>
        <w:t xml:space="preserve">relationship </w:t>
      </w:r>
      <w:r w:rsidRPr="00DD4423">
        <w:rPr>
          <w:color w:val="000000" w:themeColor="text1"/>
        </w:rPr>
        <w:t>strain and violence (</w:t>
      </w:r>
      <w:r w:rsidR="001547C3" w:rsidRPr="00DD4423">
        <w:rPr>
          <w:color w:val="000000" w:themeColor="text1"/>
        </w:rPr>
        <w:t>Ahmad-Stout et al., 2021; Goel</w:t>
      </w:r>
      <w:r w:rsidRPr="00DD4423">
        <w:rPr>
          <w:color w:val="000000" w:themeColor="text1"/>
        </w:rPr>
        <w:t>, 2005; Mirza, 2017).</w:t>
      </w:r>
    </w:p>
    <w:p w14:paraId="332A3B73" w14:textId="4E0D26F5" w:rsidR="00476CF7" w:rsidRDefault="00D33790" w:rsidP="00476CF7">
      <w:pPr>
        <w:spacing w:line="480" w:lineRule="auto"/>
        <w:ind w:firstLine="720"/>
        <w:rPr>
          <w:color w:val="000000" w:themeColor="text1"/>
        </w:rPr>
      </w:pPr>
      <w:r w:rsidRPr="00DD4423">
        <w:rPr>
          <w:color w:val="000000" w:themeColor="text1"/>
        </w:rPr>
        <w:t>Owing to the strong influence of in-laws in SA families, it is vital that in-depth investigation be conducted.</w:t>
      </w:r>
      <w:r w:rsidR="005F7A54">
        <w:rPr>
          <w:color w:val="000000" w:themeColor="text1"/>
        </w:rPr>
        <w:t xml:space="preserve"> T</w:t>
      </w:r>
      <w:r w:rsidR="00476CF7" w:rsidRPr="00DD4423">
        <w:rPr>
          <w:color w:val="000000" w:themeColor="text1"/>
        </w:rPr>
        <w:t xml:space="preserve">o operationalize DV among SAs, </w:t>
      </w:r>
      <w:r w:rsidR="003C7CA8" w:rsidRPr="00DD4423">
        <w:rPr>
          <w:color w:val="000000" w:themeColor="text1"/>
        </w:rPr>
        <w:t>globally</w:t>
      </w:r>
      <w:r w:rsidR="00C168D7">
        <w:rPr>
          <w:color w:val="000000" w:themeColor="text1"/>
        </w:rPr>
        <w:t>,</w:t>
      </w:r>
      <w:r w:rsidR="003C7CA8" w:rsidRPr="00DD4423">
        <w:rPr>
          <w:color w:val="000000" w:themeColor="text1"/>
        </w:rPr>
        <w:t xml:space="preserve"> </w:t>
      </w:r>
      <w:r w:rsidR="00476CF7" w:rsidRPr="00DD4423">
        <w:rPr>
          <w:color w:val="000000" w:themeColor="text1"/>
        </w:rPr>
        <w:t>researchers have utilized various DV measures</w:t>
      </w:r>
      <w:r w:rsidR="000B4017" w:rsidRPr="00DD4423">
        <w:rPr>
          <w:color w:val="000000" w:themeColor="text1"/>
        </w:rPr>
        <w:t xml:space="preserve"> which reflect Western contexts,</w:t>
      </w:r>
      <w:r w:rsidR="00476CF7" w:rsidRPr="00DD4423">
        <w:rPr>
          <w:color w:val="000000" w:themeColor="text1"/>
        </w:rPr>
        <w:t xml:space="preserve"> such as the Index of Spouse</w:t>
      </w:r>
      <w:r w:rsidR="00476CF7">
        <w:rPr>
          <w:color w:val="000000" w:themeColor="text1"/>
        </w:rPr>
        <w:t xml:space="preserve"> </w:t>
      </w:r>
      <w:r w:rsidR="00476CF7" w:rsidRPr="00DD4423">
        <w:rPr>
          <w:color w:val="000000" w:themeColor="text1"/>
        </w:rPr>
        <w:t>Abuse (Chandra et al., 2009) and the Revised-Conflict Tactics Scale (Mahapatra, 2012).</w:t>
      </w:r>
      <w:r w:rsidR="004B3D47" w:rsidRPr="00DD4423">
        <w:rPr>
          <w:color w:val="000000" w:themeColor="text1"/>
        </w:rPr>
        <w:t xml:space="preserve"> </w:t>
      </w:r>
      <w:r w:rsidR="00476CF7" w:rsidRPr="00DD4423">
        <w:rPr>
          <w:color w:val="000000" w:themeColor="text1"/>
        </w:rPr>
        <w:t>The applicability and utility of a social science research study can be determined by how well it has been designed and the extent to which it reflects the culture and intersectional needs of its study participants (</w:t>
      </w:r>
      <w:r w:rsidR="00AE2947" w:rsidRPr="00AE2947">
        <w:rPr>
          <w:color w:val="000000" w:themeColor="text1"/>
          <w:highlight w:val="yellow"/>
        </w:rPr>
        <w:t xml:space="preserve">Agha </w:t>
      </w:r>
      <w:r w:rsidR="00351106">
        <w:rPr>
          <w:color w:val="000000" w:themeColor="text1"/>
          <w:highlight w:val="yellow"/>
        </w:rPr>
        <w:t>and</w:t>
      </w:r>
      <w:r w:rsidR="00AE2947" w:rsidRPr="00AE2947">
        <w:rPr>
          <w:color w:val="000000" w:themeColor="text1"/>
          <w:highlight w:val="yellow"/>
        </w:rPr>
        <w:t xml:space="preserve"> Rai, 2020;</w:t>
      </w:r>
      <w:r w:rsidR="00476CF7" w:rsidRPr="00DD4423">
        <w:rPr>
          <w:color w:val="000000" w:themeColor="text1"/>
        </w:rPr>
        <w:t>White et al., 201</w:t>
      </w:r>
      <w:r w:rsidR="009024E6" w:rsidRPr="00DD4423">
        <w:rPr>
          <w:color w:val="000000" w:themeColor="text1"/>
        </w:rPr>
        <w:t>3</w:t>
      </w:r>
      <w:r w:rsidR="00476CF7" w:rsidRPr="00D33790">
        <w:rPr>
          <w:color w:val="000000" w:themeColor="text1"/>
        </w:rPr>
        <w:t>). Cultural responsivity</w:t>
      </w:r>
      <w:r w:rsidR="00476CF7">
        <w:rPr>
          <w:color w:val="000000" w:themeColor="text1"/>
        </w:rPr>
        <w:t xml:space="preserve"> </w:t>
      </w:r>
      <w:r w:rsidR="00476CF7" w:rsidRPr="005E6C76">
        <w:rPr>
          <w:color w:val="000000" w:themeColor="text1"/>
        </w:rPr>
        <w:t xml:space="preserve">incorporates an </w:t>
      </w:r>
      <w:r w:rsidR="00476CF7" w:rsidRPr="005E6C76">
        <w:rPr>
          <w:color w:val="000000" w:themeColor="text1"/>
        </w:rPr>
        <w:lastRenderedPageBreak/>
        <w:t>individual’s culture, values, and norms (</w:t>
      </w:r>
      <w:r w:rsidR="00AE2947" w:rsidRPr="00AE2947">
        <w:rPr>
          <w:color w:val="000000" w:themeColor="text1"/>
          <w:highlight w:val="yellow"/>
        </w:rPr>
        <w:t xml:space="preserve">Agha </w:t>
      </w:r>
      <w:r w:rsidR="00351106">
        <w:rPr>
          <w:color w:val="000000" w:themeColor="text1"/>
          <w:highlight w:val="yellow"/>
        </w:rPr>
        <w:t>and</w:t>
      </w:r>
      <w:r w:rsidR="00AE2947" w:rsidRPr="00AE2947">
        <w:rPr>
          <w:color w:val="000000" w:themeColor="text1"/>
          <w:highlight w:val="yellow"/>
        </w:rPr>
        <w:t xml:space="preserve"> Rai, 2020; </w:t>
      </w:r>
      <w:proofErr w:type="spellStart"/>
      <w:r w:rsidR="00AE2947" w:rsidRPr="00AE2947">
        <w:rPr>
          <w:color w:val="000000" w:themeColor="text1"/>
          <w:highlight w:val="yellow"/>
        </w:rPr>
        <w:t>Huslage</w:t>
      </w:r>
      <w:proofErr w:type="spellEnd"/>
      <w:r w:rsidR="002A5F2D">
        <w:rPr>
          <w:color w:val="000000" w:themeColor="text1"/>
          <w:highlight w:val="yellow"/>
        </w:rPr>
        <w:t xml:space="preserve">, Rai and Held, </w:t>
      </w:r>
      <w:r w:rsidR="00195756" w:rsidRPr="00195756">
        <w:rPr>
          <w:color w:val="000000" w:themeColor="text1"/>
          <w:highlight w:val="yellow"/>
        </w:rPr>
        <w:t>2021</w:t>
      </w:r>
      <w:r w:rsidR="00C34745">
        <w:rPr>
          <w:color w:val="000000" w:themeColor="text1"/>
        </w:rPr>
        <w:t>)</w:t>
      </w:r>
      <w:r w:rsidR="00476CF7" w:rsidRPr="005E6C76">
        <w:rPr>
          <w:color w:val="000000" w:themeColor="text1"/>
        </w:rPr>
        <w:t xml:space="preserve"> and</w:t>
      </w:r>
      <w:r w:rsidR="00476CF7" w:rsidRPr="00D33790">
        <w:rPr>
          <w:color w:val="000000" w:themeColor="text1"/>
        </w:rPr>
        <w:t xml:space="preserve"> can encourage or dissuade participants from engaging in the research study. By ad</w:t>
      </w:r>
      <w:r w:rsidR="00476CF7">
        <w:rPr>
          <w:color w:val="000000" w:themeColor="text1"/>
        </w:rPr>
        <w:t>o</w:t>
      </w:r>
      <w:r w:rsidR="00476CF7" w:rsidRPr="00D33790">
        <w:rPr>
          <w:color w:val="000000" w:themeColor="text1"/>
        </w:rPr>
        <w:t xml:space="preserve">pting this framework of prioritizing the culture of a community, scholars have the opportunity to move away from relying on Western models or instruments that may be unresponsive to the multidimensional nuances of a minority community </w:t>
      </w:r>
      <w:r w:rsidR="00476CF7" w:rsidRPr="00AE2947">
        <w:rPr>
          <w:color w:val="000000" w:themeColor="text1"/>
          <w:highlight w:val="yellow"/>
        </w:rPr>
        <w:t>(</w:t>
      </w:r>
      <w:r w:rsidR="00AE2947" w:rsidRPr="00AE2947">
        <w:rPr>
          <w:color w:val="000000" w:themeColor="text1"/>
          <w:highlight w:val="yellow"/>
        </w:rPr>
        <w:t>Rai, 2020</w:t>
      </w:r>
      <w:r w:rsidR="005C13BD">
        <w:rPr>
          <w:color w:val="000000" w:themeColor="text1"/>
          <w:highlight w:val="yellow"/>
        </w:rPr>
        <w:t>a; Rai,</w:t>
      </w:r>
      <w:r w:rsidR="0076768E">
        <w:rPr>
          <w:color w:val="000000" w:themeColor="text1"/>
          <w:highlight w:val="yellow"/>
        </w:rPr>
        <w:t xml:space="preserve"> Perkins and Grossman,</w:t>
      </w:r>
      <w:r w:rsidR="005C13BD">
        <w:rPr>
          <w:color w:val="000000" w:themeColor="text1"/>
          <w:highlight w:val="yellow"/>
        </w:rPr>
        <w:t xml:space="preserve"> 2020</w:t>
      </w:r>
      <w:r w:rsidR="00476CF7" w:rsidRPr="00AE2947">
        <w:rPr>
          <w:color w:val="000000" w:themeColor="text1"/>
          <w:highlight w:val="yellow"/>
        </w:rPr>
        <w:t>).</w:t>
      </w:r>
      <w:r w:rsidR="00476CF7" w:rsidRPr="00D33790">
        <w:rPr>
          <w:color w:val="000000" w:themeColor="text1"/>
        </w:rPr>
        <w:t xml:space="preserve"> </w:t>
      </w:r>
    </w:p>
    <w:p w14:paraId="6D23BC00" w14:textId="45B9C6AE" w:rsidR="003312BD" w:rsidRDefault="00476CF7" w:rsidP="00CF3540">
      <w:pPr>
        <w:spacing w:line="480" w:lineRule="auto"/>
        <w:ind w:firstLine="720"/>
        <w:rPr>
          <w:b/>
          <w:bCs/>
        </w:rPr>
      </w:pPr>
      <w:r w:rsidRPr="00D33790">
        <w:rPr>
          <w:color w:val="000000" w:themeColor="text1"/>
        </w:rPr>
        <w:t>Thus far, there have been</w:t>
      </w:r>
      <w:r>
        <w:rPr>
          <w:color w:val="000000" w:themeColor="text1"/>
        </w:rPr>
        <w:t xml:space="preserve"> two </w:t>
      </w:r>
      <w:r w:rsidRPr="00D33790">
        <w:rPr>
          <w:color w:val="000000" w:themeColor="text1"/>
        </w:rPr>
        <w:t xml:space="preserve">studies that have examined rates of </w:t>
      </w:r>
      <w:proofErr w:type="gramStart"/>
      <w:r w:rsidRPr="00D33790">
        <w:rPr>
          <w:color w:val="000000" w:themeColor="text1"/>
        </w:rPr>
        <w:t>in-laws</w:t>
      </w:r>
      <w:proofErr w:type="gramEnd"/>
      <w:r w:rsidRPr="00D33790">
        <w:rPr>
          <w:color w:val="000000" w:themeColor="text1"/>
        </w:rPr>
        <w:t xml:space="preserve"> abuse among SAs. Raj </w:t>
      </w:r>
      <w:r>
        <w:rPr>
          <w:color w:val="000000" w:themeColor="text1"/>
        </w:rPr>
        <w:t>and colleagues</w:t>
      </w:r>
      <w:r w:rsidRPr="00D33790">
        <w:rPr>
          <w:color w:val="000000" w:themeColor="text1"/>
        </w:rPr>
        <w:t xml:space="preserve"> (200</w:t>
      </w:r>
      <w:r>
        <w:rPr>
          <w:color w:val="000000" w:themeColor="text1"/>
        </w:rPr>
        <w:t>6</w:t>
      </w:r>
      <w:r w:rsidRPr="00D33790">
        <w:rPr>
          <w:color w:val="000000" w:themeColor="text1"/>
        </w:rPr>
        <w:t>)</w:t>
      </w:r>
      <w:r>
        <w:rPr>
          <w:color w:val="000000" w:themeColor="text1"/>
        </w:rPr>
        <w:t xml:space="preserve"> utilized one item to examine in-law abuse and </w:t>
      </w:r>
      <w:r w:rsidRPr="00D33790">
        <w:rPr>
          <w:color w:val="000000" w:themeColor="text1"/>
        </w:rPr>
        <w:t>found that 6%</w:t>
      </w:r>
      <w:r>
        <w:rPr>
          <w:color w:val="000000" w:themeColor="text1"/>
        </w:rPr>
        <w:t xml:space="preserve"> (n=23)</w:t>
      </w:r>
      <w:r w:rsidRPr="00D33790">
        <w:rPr>
          <w:color w:val="000000" w:themeColor="text1"/>
        </w:rPr>
        <w:t xml:space="preserve"> of 129 SA women reported victimization by in-laws.</w:t>
      </w:r>
      <w:r w:rsidRPr="00D70F26">
        <w:rPr>
          <w:color w:val="000000" w:themeColor="text1"/>
        </w:rPr>
        <w:t xml:space="preserve"> </w:t>
      </w:r>
      <w:r w:rsidRPr="00D33790">
        <w:rPr>
          <w:color w:val="000000" w:themeColor="text1"/>
        </w:rPr>
        <w:t xml:space="preserve">Raj </w:t>
      </w:r>
      <w:r>
        <w:rPr>
          <w:color w:val="000000" w:themeColor="text1"/>
        </w:rPr>
        <w:t>and</w:t>
      </w:r>
      <w:r w:rsidRPr="00D33790">
        <w:rPr>
          <w:color w:val="000000" w:themeColor="text1"/>
        </w:rPr>
        <w:t xml:space="preserve"> </w:t>
      </w:r>
      <w:r>
        <w:rPr>
          <w:color w:val="000000" w:themeColor="text1"/>
        </w:rPr>
        <w:t>colleagues</w:t>
      </w:r>
      <w:r w:rsidRPr="00D33790">
        <w:rPr>
          <w:color w:val="000000" w:themeColor="text1"/>
        </w:rPr>
        <w:t xml:space="preserve"> (2006) </w:t>
      </w:r>
      <w:r>
        <w:rPr>
          <w:color w:val="000000" w:themeColor="text1"/>
        </w:rPr>
        <w:t xml:space="preserve">also </w:t>
      </w:r>
      <w:r w:rsidRPr="00D33790">
        <w:rPr>
          <w:color w:val="000000" w:themeColor="text1"/>
        </w:rPr>
        <w:t xml:space="preserve">investigated in-laws abuse qualitatively </w:t>
      </w:r>
      <w:r>
        <w:rPr>
          <w:color w:val="000000" w:themeColor="text1"/>
        </w:rPr>
        <w:t xml:space="preserve">among the </w:t>
      </w:r>
      <w:r w:rsidRPr="00D33790">
        <w:rPr>
          <w:color w:val="000000" w:themeColor="text1"/>
        </w:rPr>
        <w:t xml:space="preserve">23 women who shared the tactics of abuse by in-laws such as control and isolation, limiting phone usage, economic and verbal control, verbal degradation, dowry demand, domestic servitude, delayed access to food and physical abuse. In </w:t>
      </w:r>
      <w:r>
        <w:rPr>
          <w:color w:val="000000" w:themeColor="text1"/>
        </w:rPr>
        <w:t xml:space="preserve">a </w:t>
      </w:r>
      <w:r w:rsidRPr="00D33790">
        <w:rPr>
          <w:color w:val="000000" w:themeColor="text1"/>
        </w:rPr>
        <w:t xml:space="preserve">study by Soglin et al. (2020), about 28.4% of 116 SA women reported experiencing non-physical abuse, including abuse </w:t>
      </w:r>
      <w:r w:rsidR="00771201">
        <w:rPr>
          <w:color w:val="000000" w:themeColor="text1"/>
        </w:rPr>
        <w:t>by</w:t>
      </w:r>
      <w:r w:rsidR="00771201" w:rsidRPr="00D33790">
        <w:rPr>
          <w:color w:val="000000" w:themeColor="text1"/>
        </w:rPr>
        <w:t xml:space="preserve"> </w:t>
      </w:r>
      <w:r w:rsidRPr="00D33790">
        <w:rPr>
          <w:color w:val="000000" w:themeColor="text1"/>
        </w:rPr>
        <w:t>in-laws.</w:t>
      </w:r>
      <w:r w:rsidRPr="00D70F26">
        <w:rPr>
          <w:color w:val="000000" w:themeColor="text1"/>
        </w:rPr>
        <w:t xml:space="preserve"> </w:t>
      </w:r>
      <w:r w:rsidRPr="00D33790">
        <w:rPr>
          <w:color w:val="000000" w:themeColor="text1"/>
        </w:rPr>
        <w:t xml:space="preserve">Soglin and colleagues (2020), </w:t>
      </w:r>
      <w:r w:rsidR="00B82C13">
        <w:rPr>
          <w:color w:val="000000" w:themeColor="text1"/>
        </w:rPr>
        <w:t>developed</w:t>
      </w:r>
      <w:r w:rsidRPr="00D33790">
        <w:rPr>
          <w:color w:val="000000" w:themeColor="text1"/>
        </w:rPr>
        <w:t xml:space="preserve"> a culturally</w:t>
      </w:r>
      <w:r w:rsidR="00E80009">
        <w:rPr>
          <w:color w:val="000000" w:themeColor="text1"/>
        </w:rPr>
        <w:t xml:space="preserve"> </w:t>
      </w:r>
      <w:r w:rsidRPr="00D33790">
        <w:rPr>
          <w:color w:val="000000" w:themeColor="text1"/>
        </w:rPr>
        <w:t xml:space="preserve">responsive 14-item screening tool </w:t>
      </w:r>
      <w:r w:rsidR="00B82C13">
        <w:rPr>
          <w:color w:val="000000" w:themeColor="text1"/>
        </w:rPr>
        <w:t>called</w:t>
      </w:r>
      <w:r w:rsidR="004C50EF">
        <w:rPr>
          <w:color w:val="000000" w:themeColor="text1"/>
        </w:rPr>
        <w:t>,</w:t>
      </w:r>
      <w:r w:rsidR="00B82C13">
        <w:rPr>
          <w:color w:val="000000" w:themeColor="text1"/>
        </w:rPr>
        <w:t xml:space="preserve"> </w:t>
      </w:r>
      <w:r w:rsidR="004C50EF">
        <w:rPr>
          <w:color w:val="000000" w:themeColor="text1"/>
        </w:rPr>
        <w:t>“</w:t>
      </w:r>
      <w:r w:rsidR="00B82C13">
        <w:rPr>
          <w:color w:val="000000" w:themeColor="text1"/>
        </w:rPr>
        <w:t>The South Asian Violence Screen (SAVS)</w:t>
      </w:r>
      <w:r w:rsidR="004C50EF">
        <w:rPr>
          <w:color w:val="000000" w:themeColor="text1"/>
        </w:rPr>
        <w:t>”</w:t>
      </w:r>
      <w:r w:rsidR="00B82C13">
        <w:rPr>
          <w:color w:val="000000" w:themeColor="text1"/>
        </w:rPr>
        <w:t xml:space="preserve"> </w:t>
      </w:r>
      <w:r w:rsidRPr="00D33790">
        <w:rPr>
          <w:color w:val="000000" w:themeColor="text1"/>
        </w:rPr>
        <w:t>for</w:t>
      </w:r>
      <w:r w:rsidR="001A6936">
        <w:rPr>
          <w:color w:val="000000" w:themeColor="text1"/>
        </w:rPr>
        <w:t xml:space="preserve"> DV</w:t>
      </w:r>
      <w:r>
        <w:rPr>
          <w:color w:val="000000" w:themeColor="text1"/>
        </w:rPr>
        <w:t xml:space="preserve"> </w:t>
      </w:r>
      <w:r w:rsidR="004C50EF">
        <w:rPr>
          <w:color w:val="000000" w:themeColor="text1"/>
        </w:rPr>
        <w:t xml:space="preserve">screening, </w:t>
      </w:r>
      <w:r>
        <w:rPr>
          <w:color w:val="000000" w:themeColor="text1"/>
        </w:rPr>
        <w:t xml:space="preserve">with </w:t>
      </w:r>
      <w:r w:rsidRPr="00D33790">
        <w:rPr>
          <w:color w:val="000000" w:themeColor="text1"/>
        </w:rPr>
        <w:t>three questions relat</w:t>
      </w:r>
      <w:r w:rsidR="002B239E">
        <w:rPr>
          <w:color w:val="000000" w:themeColor="text1"/>
        </w:rPr>
        <w:t>ing</w:t>
      </w:r>
      <w:r w:rsidRPr="00D33790">
        <w:rPr>
          <w:color w:val="000000" w:themeColor="text1"/>
        </w:rPr>
        <w:t xml:space="preserve"> to partner </w:t>
      </w:r>
      <w:r w:rsidR="00F83AD1">
        <w:rPr>
          <w:color w:val="000000" w:themeColor="text1"/>
        </w:rPr>
        <w:t>or</w:t>
      </w:r>
      <w:r w:rsidRPr="00D33790">
        <w:rPr>
          <w:color w:val="000000" w:themeColor="text1"/>
        </w:rPr>
        <w:t xml:space="preserve"> partner’s </w:t>
      </w:r>
      <w:r w:rsidR="004C50EF">
        <w:rPr>
          <w:color w:val="000000" w:themeColor="text1"/>
        </w:rPr>
        <w:t xml:space="preserve">family related abuse. </w:t>
      </w:r>
      <w:r>
        <w:rPr>
          <w:color w:val="000000" w:themeColor="text1"/>
        </w:rPr>
        <w:t>Both</w:t>
      </w:r>
      <w:r w:rsidRPr="00D33790">
        <w:rPr>
          <w:color w:val="000000" w:themeColor="text1"/>
        </w:rPr>
        <w:t xml:space="preserve"> studies utilized questions about </w:t>
      </w:r>
      <w:proofErr w:type="gramStart"/>
      <w:r w:rsidRPr="00D33790">
        <w:rPr>
          <w:color w:val="000000" w:themeColor="text1"/>
        </w:rPr>
        <w:t>in-laws</w:t>
      </w:r>
      <w:proofErr w:type="gramEnd"/>
      <w:r w:rsidRPr="00D33790">
        <w:rPr>
          <w:color w:val="000000" w:themeColor="text1"/>
        </w:rPr>
        <w:t xml:space="preserve"> abuse imbedded within their larger survey </w:t>
      </w:r>
      <w:r w:rsidR="00ED4B83">
        <w:rPr>
          <w:color w:val="000000" w:themeColor="text1"/>
        </w:rPr>
        <w:t>rather than</w:t>
      </w:r>
      <w:r w:rsidRPr="00D33790">
        <w:rPr>
          <w:color w:val="000000" w:themeColor="text1"/>
        </w:rPr>
        <w:t xml:space="preserve"> an instrument specifically designed to measure abuse </w:t>
      </w:r>
      <w:r w:rsidR="00C5563C">
        <w:rPr>
          <w:color w:val="000000" w:themeColor="text1"/>
        </w:rPr>
        <w:t>by</w:t>
      </w:r>
      <w:r w:rsidR="00C5563C" w:rsidRPr="00D33790">
        <w:rPr>
          <w:color w:val="000000" w:themeColor="text1"/>
        </w:rPr>
        <w:t xml:space="preserve"> </w:t>
      </w:r>
      <w:r w:rsidRPr="00D33790">
        <w:rPr>
          <w:color w:val="000000" w:themeColor="text1"/>
        </w:rPr>
        <w:t>in-laws</w:t>
      </w:r>
      <w:r w:rsidR="004C50EF">
        <w:rPr>
          <w:color w:val="000000" w:themeColor="text1"/>
        </w:rPr>
        <w:t>, thus,</w:t>
      </w:r>
      <w:r>
        <w:rPr>
          <w:color w:val="000000" w:themeColor="text1"/>
        </w:rPr>
        <w:t xml:space="preserve"> limiting the ability of the items to be </w:t>
      </w:r>
      <w:r w:rsidRPr="00D33790">
        <w:rPr>
          <w:color w:val="000000" w:themeColor="text1"/>
        </w:rPr>
        <w:t xml:space="preserve">utilized as a stand-alone scale to measure abuse by in-laws. </w:t>
      </w:r>
      <w:r>
        <w:rPr>
          <w:color w:val="000000" w:themeColor="text1"/>
        </w:rPr>
        <w:t>P</w:t>
      </w:r>
      <w:r w:rsidRPr="00D33790">
        <w:rPr>
          <w:color w:val="000000" w:themeColor="text1"/>
        </w:rPr>
        <w:t>resently</w:t>
      </w:r>
      <w:r w:rsidR="00C34013">
        <w:rPr>
          <w:color w:val="000000" w:themeColor="text1"/>
        </w:rPr>
        <w:t>,</w:t>
      </w:r>
      <w:r w:rsidRPr="00D33790">
        <w:rPr>
          <w:color w:val="000000" w:themeColor="text1"/>
        </w:rPr>
        <w:t xml:space="preserve"> there is not a scale that exclusively focuses on </w:t>
      </w:r>
      <w:proofErr w:type="gramStart"/>
      <w:r w:rsidRPr="00D33790">
        <w:rPr>
          <w:color w:val="000000" w:themeColor="text1"/>
        </w:rPr>
        <w:t>in-laws</w:t>
      </w:r>
      <w:proofErr w:type="gramEnd"/>
      <w:r w:rsidRPr="00D33790">
        <w:rPr>
          <w:color w:val="000000" w:themeColor="text1"/>
        </w:rPr>
        <w:t xml:space="preserve"> abuse</w:t>
      </w:r>
      <w:r w:rsidR="001A6936">
        <w:rPr>
          <w:color w:val="000000" w:themeColor="text1"/>
        </w:rPr>
        <w:t xml:space="preserve"> as a form of DV</w:t>
      </w:r>
      <w:r w:rsidRPr="00D33790">
        <w:rPr>
          <w:color w:val="000000" w:themeColor="text1"/>
        </w:rPr>
        <w:t xml:space="preserve">. </w:t>
      </w:r>
      <w:r w:rsidR="004C50EF" w:rsidRPr="00D33790">
        <w:rPr>
          <w:color w:val="000000" w:themeColor="text1"/>
        </w:rPr>
        <w:t>Continuing to use instruments that are unresponsiv</w:t>
      </w:r>
      <w:r w:rsidR="00ED4B83">
        <w:rPr>
          <w:color w:val="000000" w:themeColor="text1"/>
        </w:rPr>
        <w:t>e</w:t>
      </w:r>
      <w:r w:rsidR="004C50EF" w:rsidRPr="00D33790">
        <w:rPr>
          <w:color w:val="000000" w:themeColor="text1"/>
        </w:rPr>
        <w:t xml:space="preserve"> can be oppressive to minority communities’ </w:t>
      </w:r>
      <w:proofErr w:type="gramStart"/>
      <w:r w:rsidR="004C50EF" w:rsidRPr="00D33790">
        <w:rPr>
          <w:color w:val="000000" w:themeColor="text1"/>
        </w:rPr>
        <w:t>cultures</w:t>
      </w:r>
      <w:r w:rsidR="00ED4B83">
        <w:rPr>
          <w:color w:val="000000" w:themeColor="text1"/>
        </w:rPr>
        <w:t>, and</w:t>
      </w:r>
      <w:proofErr w:type="gramEnd"/>
      <w:r w:rsidR="004C50EF" w:rsidRPr="00D33790">
        <w:rPr>
          <w:color w:val="000000" w:themeColor="text1"/>
        </w:rPr>
        <w:t xml:space="preserve"> may also inaccurately represent the experiences of a minority community by overlooking salient cultural nuances (White et al., 201</w:t>
      </w:r>
      <w:r w:rsidR="009024E6">
        <w:rPr>
          <w:color w:val="000000" w:themeColor="text1"/>
        </w:rPr>
        <w:t>3</w:t>
      </w:r>
      <w:r w:rsidR="00C34745">
        <w:rPr>
          <w:color w:val="000000" w:themeColor="text1"/>
        </w:rPr>
        <w:t xml:space="preserve">; </w:t>
      </w:r>
      <w:r w:rsidR="005C13BD" w:rsidRPr="005C13BD">
        <w:rPr>
          <w:color w:val="000000" w:themeColor="text1"/>
          <w:highlight w:val="yellow"/>
        </w:rPr>
        <w:t>Rai et al., in press</w:t>
      </w:r>
      <w:r w:rsidR="004C50EF" w:rsidRPr="00D33790">
        <w:rPr>
          <w:color w:val="000000" w:themeColor="text1"/>
        </w:rPr>
        <w:t xml:space="preserve">). </w:t>
      </w:r>
    </w:p>
    <w:p w14:paraId="2FF657D1" w14:textId="5242F0FB" w:rsidR="00D71FFE" w:rsidRPr="00CF3540" w:rsidRDefault="00D33790" w:rsidP="00491A23">
      <w:pPr>
        <w:spacing w:line="480" w:lineRule="auto"/>
        <w:ind w:firstLine="720"/>
        <w:jc w:val="center"/>
        <w:rPr>
          <w:color w:val="000000" w:themeColor="text1"/>
        </w:rPr>
      </w:pPr>
      <w:r w:rsidRPr="00245346">
        <w:rPr>
          <w:b/>
          <w:bCs/>
        </w:rPr>
        <w:lastRenderedPageBreak/>
        <w:t>Study Overview and Framework</w:t>
      </w:r>
    </w:p>
    <w:p w14:paraId="0B3DE187" w14:textId="438F9BA9" w:rsidR="00AF35A8" w:rsidRDefault="00AF35A8" w:rsidP="00D33790">
      <w:pPr>
        <w:spacing w:line="480" w:lineRule="auto"/>
      </w:pPr>
      <w:r>
        <w:rPr>
          <w:b/>
          <w:bCs/>
        </w:rPr>
        <w:tab/>
      </w:r>
      <w:r w:rsidR="003032E9">
        <w:t xml:space="preserve">Owing to the cultural norms and practices in a community, </w:t>
      </w:r>
      <w:r w:rsidR="00DE4627">
        <w:t>DV</w:t>
      </w:r>
      <w:r>
        <w:t xml:space="preserve"> </w:t>
      </w:r>
      <w:r w:rsidR="003032E9">
        <w:t xml:space="preserve">can </w:t>
      </w:r>
      <w:r>
        <w:t xml:space="preserve">manifest distinctively across diverse immigrant communities. </w:t>
      </w:r>
      <w:r w:rsidR="00A82B21" w:rsidRPr="00A82B21">
        <w:rPr>
          <w:highlight w:val="yellow"/>
        </w:rPr>
        <w:t>A culture of patriarchy, collectivism</w:t>
      </w:r>
      <w:r w:rsidR="00A82B21">
        <w:rPr>
          <w:highlight w:val="yellow"/>
        </w:rPr>
        <w:t xml:space="preserve"> and </w:t>
      </w:r>
      <w:r w:rsidR="00A82B21" w:rsidRPr="00A82B21">
        <w:rPr>
          <w:highlight w:val="yellow"/>
        </w:rPr>
        <w:t>gender-role stereotypes can contribute to DV</w:t>
      </w:r>
      <w:r w:rsidR="00A82B21">
        <w:rPr>
          <w:highlight w:val="yellow"/>
        </w:rPr>
        <w:t>,</w:t>
      </w:r>
      <w:r w:rsidR="00A82B21" w:rsidRPr="00A82B21">
        <w:rPr>
          <w:highlight w:val="yellow"/>
        </w:rPr>
        <w:t xml:space="preserve"> which the mainstream western </w:t>
      </w:r>
      <w:r w:rsidR="004058A1">
        <w:rPr>
          <w:highlight w:val="yellow"/>
        </w:rPr>
        <w:t xml:space="preserve">definitions </w:t>
      </w:r>
      <w:r w:rsidR="00A82B21" w:rsidRPr="00A82B21">
        <w:rPr>
          <w:highlight w:val="yellow"/>
        </w:rPr>
        <w:t>of DV can fail to include. Within immigrant communities, DV can include abuse by the partner</w:t>
      </w:r>
      <w:r w:rsidR="00A82B21">
        <w:rPr>
          <w:highlight w:val="yellow"/>
        </w:rPr>
        <w:t>,</w:t>
      </w:r>
      <w:r w:rsidR="00A82B21" w:rsidRPr="00A82B21">
        <w:rPr>
          <w:highlight w:val="yellow"/>
        </w:rPr>
        <w:t xml:space="preserve"> in-laws or extended family members </w:t>
      </w:r>
      <w:r w:rsidR="00A82B21">
        <w:rPr>
          <w:highlight w:val="yellow"/>
        </w:rPr>
        <w:t xml:space="preserve">(Rai </w:t>
      </w:r>
      <w:r w:rsidR="00351106">
        <w:rPr>
          <w:highlight w:val="yellow"/>
        </w:rPr>
        <w:t>and</w:t>
      </w:r>
      <w:r w:rsidR="00A82B21">
        <w:rPr>
          <w:highlight w:val="yellow"/>
        </w:rPr>
        <w:t xml:space="preserve"> Choi, 2021</w:t>
      </w:r>
      <w:r w:rsidR="003A64EB">
        <w:rPr>
          <w:highlight w:val="yellow"/>
        </w:rPr>
        <w:t xml:space="preserve">; Goel, 2005; </w:t>
      </w:r>
      <w:r w:rsidR="003E56A5" w:rsidRPr="00016CEB">
        <w:rPr>
          <w:color w:val="000000" w:themeColor="text1"/>
          <w:highlight w:val="yellow"/>
        </w:rPr>
        <w:t>Sabri</w:t>
      </w:r>
      <w:r w:rsidR="003E56A5">
        <w:rPr>
          <w:color w:val="000000" w:themeColor="text1"/>
          <w:highlight w:val="yellow"/>
        </w:rPr>
        <w:t xml:space="preserve">, </w:t>
      </w:r>
      <w:proofErr w:type="spellStart"/>
      <w:r w:rsidR="003E56A5" w:rsidRPr="00F5660D">
        <w:rPr>
          <w:color w:val="000000" w:themeColor="text1"/>
          <w:highlight w:val="yellow"/>
        </w:rPr>
        <w:t>Simonet</w:t>
      </w:r>
      <w:proofErr w:type="spellEnd"/>
      <w:r w:rsidR="003E56A5">
        <w:rPr>
          <w:color w:val="000000" w:themeColor="text1"/>
          <w:highlight w:val="yellow"/>
        </w:rPr>
        <w:t xml:space="preserve"> and </w:t>
      </w:r>
      <w:r w:rsidR="003E56A5" w:rsidRPr="00F5660D">
        <w:rPr>
          <w:color w:val="000000" w:themeColor="text1"/>
          <w:highlight w:val="yellow"/>
        </w:rPr>
        <w:t>Campbell</w:t>
      </w:r>
      <w:r w:rsidR="003A64EB">
        <w:rPr>
          <w:highlight w:val="yellow"/>
        </w:rPr>
        <w:t>, 2018</w:t>
      </w:r>
      <w:r w:rsidR="003A64EB" w:rsidRPr="006C140F">
        <w:rPr>
          <w:highlight w:val="yellow"/>
        </w:rPr>
        <w:t>)</w:t>
      </w:r>
      <w:r w:rsidR="00A82B21" w:rsidRPr="006C140F">
        <w:rPr>
          <w:highlight w:val="yellow"/>
        </w:rPr>
        <w:t xml:space="preserve">. </w:t>
      </w:r>
      <w:r w:rsidR="006C140F" w:rsidRPr="006C140F">
        <w:rPr>
          <w:highlight w:val="yellow"/>
        </w:rPr>
        <w:t xml:space="preserve">Therefore, to understand the role and influence of in-laws in SA households, it is imperative to begin by examining the perceptions of </w:t>
      </w:r>
      <w:proofErr w:type="gramStart"/>
      <w:r w:rsidR="006C140F" w:rsidRPr="006C140F">
        <w:rPr>
          <w:highlight w:val="yellow"/>
        </w:rPr>
        <w:t>in-laws</w:t>
      </w:r>
      <w:proofErr w:type="gramEnd"/>
      <w:r w:rsidR="006C140F" w:rsidRPr="006C140F">
        <w:rPr>
          <w:highlight w:val="yellow"/>
        </w:rPr>
        <w:t xml:space="preserve"> abuse within this community</w:t>
      </w:r>
      <w:r w:rsidR="006C140F" w:rsidRPr="002C1844">
        <w:rPr>
          <w:highlight w:val="yellow"/>
        </w:rPr>
        <w:t xml:space="preserve">. </w:t>
      </w:r>
      <w:r w:rsidR="000F2251">
        <w:t xml:space="preserve">As a starting point </w:t>
      </w:r>
      <w:r w:rsidRPr="00AF35A8">
        <w:t>to develop and test a</w:t>
      </w:r>
      <w:r>
        <w:t>n instrument to measure</w:t>
      </w:r>
      <w:r w:rsidR="000F2251">
        <w:t xml:space="preserve"> in-laws abuse, this study examined the</w:t>
      </w:r>
      <w:r>
        <w:t xml:space="preserve"> </w:t>
      </w:r>
      <w:r w:rsidR="000F2251">
        <w:t xml:space="preserve">perceptions of </w:t>
      </w:r>
      <w:r>
        <w:t xml:space="preserve">abuse </w:t>
      </w:r>
      <w:r w:rsidR="00C5563C">
        <w:t xml:space="preserve">by </w:t>
      </w:r>
      <w:r>
        <w:t>in-laws among S</w:t>
      </w:r>
      <w:r w:rsidR="00C10923">
        <w:t>A</w:t>
      </w:r>
      <w:r>
        <w:t xml:space="preserve"> immigrants in the U.S. </w:t>
      </w:r>
      <w:r w:rsidR="00EE7145">
        <w:t xml:space="preserve">Through the development of a culturally responsive instrument (White </w:t>
      </w:r>
      <w:r w:rsidR="00D9541A">
        <w:t>e</w:t>
      </w:r>
      <w:r w:rsidR="00EE7145">
        <w:t>t al., 201</w:t>
      </w:r>
      <w:r w:rsidR="009024E6">
        <w:t>3</w:t>
      </w:r>
      <w:r w:rsidR="00EE7145">
        <w:t xml:space="preserve">; </w:t>
      </w:r>
      <w:r w:rsidR="005C13BD">
        <w:t xml:space="preserve">Agha </w:t>
      </w:r>
      <w:r w:rsidR="00351106">
        <w:t>and</w:t>
      </w:r>
      <w:r w:rsidR="005C13BD">
        <w:t xml:space="preserve"> Rai, 2020</w:t>
      </w:r>
      <w:r w:rsidR="00EE7145">
        <w:t xml:space="preserve">) aimed at incorporating cultural nuances </w:t>
      </w:r>
      <w:r w:rsidR="00C02BAC">
        <w:t>in</w:t>
      </w:r>
      <w:r w:rsidR="00EE7145">
        <w:t xml:space="preserve"> the ways in which DV can surface in the SA community, this </w:t>
      </w:r>
      <w:r w:rsidR="00C02BAC">
        <w:t>study</w:t>
      </w:r>
      <w:r w:rsidR="00EE7145">
        <w:t xml:space="preserve"> aim</w:t>
      </w:r>
      <w:r w:rsidR="00CF3540">
        <w:t>ed</w:t>
      </w:r>
      <w:r w:rsidR="00EE7145">
        <w:t xml:space="preserve"> to </w:t>
      </w:r>
      <w:r w:rsidR="000F2251">
        <w:t>test potential items that could be</w:t>
      </w:r>
      <w:r w:rsidR="00CF3540">
        <w:t xml:space="preserve"> </w:t>
      </w:r>
      <w:r w:rsidR="000F2251">
        <w:t xml:space="preserve">used </w:t>
      </w:r>
      <w:r w:rsidR="00CF3540">
        <w:t>as an</w:t>
      </w:r>
      <w:r w:rsidR="000F2251">
        <w:t xml:space="preserve"> </w:t>
      </w:r>
      <w:r w:rsidR="00EE7145">
        <w:t xml:space="preserve">abuse victimization assessment tool. </w:t>
      </w:r>
    </w:p>
    <w:p w14:paraId="1FEE20D0" w14:textId="29943BD7" w:rsidR="00A472D3" w:rsidRDefault="00A472D3" w:rsidP="00D33790">
      <w:pPr>
        <w:spacing w:line="480" w:lineRule="auto"/>
      </w:pPr>
      <w:r>
        <w:tab/>
        <w:t>To build context, the goals of the main study will now be explained. The overarching goal of the survey were threefold: (1) To examine the perceptions of DV among SA immigrants in the U.S., (2) To examine DV victimization among SAs in the U</w:t>
      </w:r>
      <w:r w:rsidR="00EA2154">
        <w:t>.</w:t>
      </w:r>
      <w:r>
        <w:t>S., and (3) To examine help-giving by SAs to friends and family experiencing DV and descri</w:t>
      </w:r>
      <w:r w:rsidR="000E0170">
        <w:t xml:space="preserve">be </w:t>
      </w:r>
      <w:r>
        <w:t>help-seeking preferences of SAs (</w:t>
      </w:r>
      <w:r w:rsidR="005C13BD">
        <w:t>Rai, 2020</w:t>
      </w:r>
      <w:r>
        <w:t xml:space="preserve">). For the purposes of this study, we will focus on perceptions of DV among SAs, specifically looking at </w:t>
      </w:r>
      <w:proofErr w:type="gramStart"/>
      <w:r>
        <w:t>in-laws</w:t>
      </w:r>
      <w:proofErr w:type="gramEnd"/>
      <w:r>
        <w:t xml:space="preserve"> abuse.  </w:t>
      </w:r>
    </w:p>
    <w:p w14:paraId="319FF01F" w14:textId="22DB77B3" w:rsidR="003312BD" w:rsidRPr="00491A23" w:rsidRDefault="003312BD" w:rsidP="00D33790">
      <w:pPr>
        <w:spacing w:line="480" w:lineRule="auto"/>
        <w:rPr>
          <w:b/>
          <w:bCs/>
        </w:rPr>
      </w:pPr>
      <w:r w:rsidRPr="00A33B5F">
        <w:rPr>
          <w:b/>
          <w:bCs/>
        </w:rPr>
        <w:t>Development of the SMILE</w:t>
      </w:r>
      <w:r w:rsidRPr="00AD6567">
        <w:rPr>
          <w:b/>
          <w:bCs/>
        </w:rPr>
        <w:t xml:space="preserve"> </w:t>
      </w:r>
    </w:p>
    <w:p w14:paraId="0248A757" w14:textId="0307EAF0" w:rsidR="003312BD" w:rsidRPr="00EA2154" w:rsidRDefault="00D33790" w:rsidP="004C50EF">
      <w:pPr>
        <w:spacing w:line="480" w:lineRule="auto"/>
        <w:ind w:firstLine="720"/>
      </w:pPr>
      <w:r w:rsidRPr="00D33790">
        <w:t xml:space="preserve">The construction of the </w:t>
      </w:r>
      <w:r w:rsidR="00CF3540" w:rsidRPr="00AD6567">
        <w:rPr>
          <w:b/>
          <w:bCs/>
        </w:rPr>
        <w:t>S</w:t>
      </w:r>
      <w:r w:rsidR="00CF3540">
        <w:t xml:space="preserve">cale to </w:t>
      </w:r>
      <w:r w:rsidR="00CF3540" w:rsidRPr="00AD6567">
        <w:rPr>
          <w:b/>
          <w:bCs/>
        </w:rPr>
        <w:t>M</w:t>
      </w:r>
      <w:r w:rsidR="00CF3540">
        <w:t xml:space="preserve">easure </w:t>
      </w:r>
      <w:r w:rsidR="00CF3540" w:rsidRPr="00AD6567">
        <w:rPr>
          <w:b/>
          <w:bCs/>
        </w:rPr>
        <w:t>I</w:t>
      </w:r>
      <w:r w:rsidR="00CF3540">
        <w:t>n-</w:t>
      </w:r>
      <w:r w:rsidR="00CF3540" w:rsidRPr="00AD6567">
        <w:rPr>
          <w:b/>
          <w:bCs/>
        </w:rPr>
        <w:t>L</w:t>
      </w:r>
      <w:r w:rsidR="00CF3540">
        <w:t xml:space="preserve">aws </w:t>
      </w:r>
      <w:r w:rsidR="00CF3540" w:rsidRPr="00AD6567">
        <w:rPr>
          <w:b/>
          <w:bCs/>
        </w:rPr>
        <w:t>E</w:t>
      </w:r>
      <w:r w:rsidR="00CF3540">
        <w:t>xploitation &amp; abuse</w:t>
      </w:r>
      <w:r w:rsidR="00C10923">
        <w:t xml:space="preserve"> (SMILE)</w:t>
      </w:r>
      <w:r w:rsidRPr="00D33790">
        <w:t xml:space="preserve"> was done utilizing the tactics of DV elucidated in the Power and Control Wheel for immigrants (Futures Without Violence, n.d.), the lived experiences of the first author</w:t>
      </w:r>
      <w:r w:rsidR="00924C91">
        <w:t xml:space="preserve"> who has worked with </w:t>
      </w:r>
      <w:r w:rsidR="00924C91">
        <w:lastRenderedPageBreak/>
        <w:t>SAs experiencing DV</w:t>
      </w:r>
      <w:r w:rsidR="000F2251">
        <w:t>,</w:t>
      </w:r>
      <w:r w:rsidRPr="00D33790">
        <w:t xml:space="preserve"> and the feedback received from the pilot study</w:t>
      </w:r>
      <w:r w:rsidR="00CF3540">
        <w:t xml:space="preserve"> (described later)</w:t>
      </w:r>
      <w:r w:rsidRPr="00D33790">
        <w:t xml:space="preserve">. The Power and Control Wheel for immigrants highlights the varied ways in which abuse can manifest among SA households such as isolation, emotional abuse, physical harm and financial control. </w:t>
      </w:r>
      <w:r w:rsidR="003032E9">
        <w:t xml:space="preserve">Therefore, drawing from the </w:t>
      </w:r>
      <w:r w:rsidR="00DE4627">
        <w:t>P</w:t>
      </w:r>
      <w:r w:rsidR="003032E9">
        <w:t xml:space="preserve">ower and </w:t>
      </w:r>
      <w:r w:rsidR="00DE4627">
        <w:t>C</w:t>
      </w:r>
      <w:r w:rsidR="003032E9">
        <w:t xml:space="preserve">ontrol </w:t>
      </w:r>
      <w:r w:rsidR="00DE4627">
        <w:t>W</w:t>
      </w:r>
      <w:r w:rsidR="003032E9">
        <w:t xml:space="preserve">heel </w:t>
      </w:r>
      <w:r w:rsidR="003312BD">
        <w:t xml:space="preserve">for immigrants </w:t>
      </w:r>
      <w:r w:rsidR="003032E9">
        <w:t>and pulling in tactics that can also be perpetrated by in-laws</w:t>
      </w:r>
      <w:r w:rsidR="003312BD">
        <w:t xml:space="preserve"> and not just partners</w:t>
      </w:r>
      <w:r w:rsidR="003032E9">
        <w:t>, the items of the scale were developed</w:t>
      </w:r>
      <w:r w:rsidR="00DE4627">
        <w:t xml:space="preserve"> (Futures Without Violence, n.d.)</w:t>
      </w:r>
      <w:r w:rsidR="003032E9">
        <w:t xml:space="preserve">. </w:t>
      </w:r>
      <w:r w:rsidR="007536DD" w:rsidRPr="007536DD">
        <w:rPr>
          <w:highlight w:val="yellow"/>
        </w:rPr>
        <w:t xml:space="preserve">Specifically, the </w:t>
      </w:r>
      <w:r w:rsidR="00BD6B6E">
        <w:rPr>
          <w:highlight w:val="yellow"/>
        </w:rPr>
        <w:t>abuse tactics</w:t>
      </w:r>
      <w:r w:rsidR="007536DD" w:rsidRPr="007536DD">
        <w:rPr>
          <w:highlight w:val="yellow"/>
        </w:rPr>
        <w:t>, such as, isolation</w:t>
      </w:r>
      <w:r w:rsidR="007536DD">
        <w:rPr>
          <w:highlight w:val="yellow"/>
        </w:rPr>
        <w:t xml:space="preserve"> (keeping away</w:t>
      </w:r>
      <w:r w:rsidR="007536DD" w:rsidRPr="007536DD">
        <w:rPr>
          <w:highlight w:val="yellow"/>
        </w:rPr>
        <w:t xml:space="preserve"> friends and family</w:t>
      </w:r>
      <w:r w:rsidR="008A2ABF">
        <w:rPr>
          <w:highlight w:val="yellow"/>
        </w:rPr>
        <w:t xml:space="preserve"> incorporated as</w:t>
      </w:r>
      <w:r w:rsidR="00756874">
        <w:rPr>
          <w:highlight w:val="yellow"/>
        </w:rPr>
        <w:t xml:space="preserve"> item 1</w:t>
      </w:r>
      <w:r w:rsidR="008A2ABF">
        <w:rPr>
          <w:highlight w:val="yellow"/>
        </w:rPr>
        <w:t xml:space="preserve"> in</w:t>
      </w:r>
      <w:r w:rsidR="00E05D8D">
        <w:rPr>
          <w:highlight w:val="yellow"/>
        </w:rPr>
        <w:t xml:space="preserve"> the </w:t>
      </w:r>
      <w:r w:rsidR="008A2ABF">
        <w:rPr>
          <w:highlight w:val="yellow"/>
        </w:rPr>
        <w:t>SMILE</w:t>
      </w:r>
      <w:r w:rsidR="007536DD">
        <w:rPr>
          <w:highlight w:val="yellow"/>
        </w:rPr>
        <w:t>)</w:t>
      </w:r>
      <w:r w:rsidR="007536DD" w:rsidRPr="007536DD">
        <w:rPr>
          <w:highlight w:val="yellow"/>
        </w:rPr>
        <w:t>, economic abuse</w:t>
      </w:r>
      <w:r w:rsidR="007536DD">
        <w:rPr>
          <w:highlight w:val="yellow"/>
        </w:rPr>
        <w:t xml:space="preserve"> (financial control</w:t>
      </w:r>
      <w:r w:rsidR="00756874">
        <w:rPr>
          <w:highlight w:val="yellow"/>
        </w:rPr>
        <w:t xml:space="preserve"> </w:t>
      </w:r>
      <w:r w:rsidR="008A2ABF">
        <w:rPr>
          <w:highlight w:val="yellow"/>
        </w:rPr>
        <w:t>incorporated as</w:t>
      </w:r>
      <w:r w:rsidR="00756874">
        <w:rPr>
          <w:highlight w:val="yellow"/>
        </w:rPr>
        <w:t xml:space="preserve"> item 2</w:t>
      </w:r>
      <w:r w:rsidR="008A2ABF">
        <w:rPr>
          <w:highlight w:val="yellow"/>
        </w:rPr>
        <w:t xml:space="preserve"> in </w:t>
      </w:r>
      <w:r w:rsidR="00E05D8D">
        <w:rPr>
          <w:highlight w:val="yellow"/>
        </w:rPr>
        <w:t xml:space="preserve">the </w:t>
      </w:r>
      <w:r w:rsidR="008A2ABF">
        <w:rPr>
          <w:highlight w:val="yellow"/>
        </w:rPr>
        <w:t>SMILE</w:t>
      </w:r>
      <w:r w:rsidR="007536DD">
        <w:rPr>
          <w:highlight w:val="yellow"/>
        </w:rPr>
        <w:t>)</w:t>
      </w:r>
      <w:r w:rsidR="007536DD" w:rsidRPr="007536DD">
        <w:rPr>
          <w:highlight w:val="yellow"/>
        </w:rPr>
        <w:t xml:space="preserve">, </w:t>
      </w:r>
      <w:r w:rsidR="00F27985" w:rsidRPr="00F27985">
        <w:rPr>
          <w:highlight w:val="yellow"/>
        </w:rPr>
        <w:t>emotional</w:t>
      </w:r>
      <w:r w:rsidR="00756874" w:rsidRPr="00F27985">
        <w:rPr>
          <w:highlight w:val="yellow"/>
        </w:rPr>
        <w:t xml:space="preserve"> abuse </w:t>
      </w:r>
      <w:r w:rsidR="00756874">
        <w:rPr>
          <w:highlight w:val="yellow"/>
        </w:rPr>
        <w:t xml:space="preserve">(calling names </w:t>
      </w:r>
      <w:r w:rsidR="008A2ABF">
        <w:rPr>
          <w:highlight w:val="yellow"/>
        </w:rPr>
        <w:t xml:space="preserve">incorporated as item 3 in </w:t>
      </w:r>
      <w:r w:rsidR="00E05D8D">
        <w:rPr>
          <w:highlight w:val="yellow"/>
        </w:rPr>
        <w:t xml:space="preserve">the </w:t>
      </w:r>
      <w:r w:rsidR="008A2ABF">
        <w:rPr>
          <w:highlight w:val="yellow"/>
        </w:rPr>
        <w:t>SMILE</w:t>
      </w:r>
      <w:r w:rsidR="00756874">
        <w:rPr>
          <w:highlight w:val="yellow"/>
        </w:rPr>
        <w:t>)</w:t>
      </w:r>
      <w:r w:rsidR="00756874" w:rsidRPr="007536DD">
        <w:rPr>
          <w:highlight w:val="yellow"/>
        </w:rPr>
        <w:t xml:space="preserve"> </w:t>
      </w:r>
      <w:r w:rsidR="00756874">
        <w:rPr>
          <w:highlight w:val="yellow"/>
        </w:rPr>
        <w:t xml:space="preserve">and </w:t>
      </w:r>
      <w:r w:rsidR="007536DD" w:rsidRPr="007536DD">
        <w:rPr>
          <w:highlight w:val="yellow"/>
        </w:rPr>
        <w:t>physical abuse</w:t>
      </w:r>
      <w:r w:rsidR="007536DD">
        <w:rPr>
          <w:highlight w:val="yellow"/>
        </w:rPr>
        <w:t xml:space="preserve"> (using physical force</w:t>
      </w:r>
      <w:r w:rsidR="00756874">
        <w:rPr>
          <w:highlight w:val="yellow"/>
        </w:rPr>
        <w:t xml:space="preserve"> </w:t>
      </w:r>
      <w:r w:rsidR="008A2ABF">
        <w:rPr>
          <w:highlight w:val="yellow"/>
        </w:rPr>
        <w:t>incorporated as</w:t>
      </w:r>
      <w:r w:rsidR="00756874">
        <w:rPr>
          <w:highlight w:val="yellow"/>
        </w:rPr>
        <w:t xml:space="preserve"> item 4</w:t>
      </w:r>
      <w:r w:rsidR="008A2ABF">
        <w:rPr>
          <w:highlight w:val="yellow"/>
        </w:rPr>
        <w:t xml:space="preserve"> in </w:t>
      </w:r>
      <w:r w:rsidR="00E05D8D">
        <w:rPr>
          <w:highlight w:val="yellow"/>
        </w:rPr>
        <w:t xml:space="preserve">the </w:t>
      </w:r>
      <w:r w:rsidR="008A2ABF">
        <w:rPr>
          <w:highlight w:val="yellow"/>
        </w:rPr>
        <w:t>SMILE</w:t>
      </w:r>
      <w:r w:rsidR="007536DD">
        <w:rPr>
          <w:highlight w:val="yellow"/>
        </w:rPr>
        <w:t xml:space="preserve">) </w:t>
      </w:r>
      <w:r w:rsidR="007536DD" w:rsidRPr="007536DD">
        <w:rPr>
          <w:highlight w:val="yellow"/>
        </w:rPr>
        <w:t xml:space="preserve">were borrowed from the Power and Control Wheel </w:t>
      </w:r>
      <w:r w:rsidR="004527D4">
        <w:rPr>
          <w:highlight w:val="yellow"/>
        </w:rPr>
        <w:t xml:space="preserve">and </w:t>
      </w:r>
      <w:r w:rsidR="007536DD" w:rsidRPr="007536DD">
        <w:rPr>
          <w:highlight w:val="yellow"/>
        </w:rPr>
        <w:t>included in the SMILE.</w:t>
      </w:r>
      <w:r w:rsidR="007536DD">
        <w:t xml:space="preserve">  </w:t>
      </w:r>
      <w:r w:rsidR="00C03A86" w:rsidRPr="00C03A86">
        <w:rPr>
          <w:highlight w:val="yellow"/>
        </w:rPr>
        <w:t>These tactics were selected for inclusion in the SMILE</w:t>
      </w:r>
      <w:r w:rsidR="00C03A86">
        <w:t xml:space="preserve"> </w:t>
      </w:r>
      <w:r w:rsidR="006D7EBB" w:rsidRPr="006D7EBB">
        <w:rPr>
          <w:highlight w:val="yellow"/>
        </w:rPr>
        <w:t xml:space="preserve">due to overlaps </w:t>
      </w:r>
      <w:r w:rsidR="00C37218">
        <w:rPr>
          <w:highlight w:val="yellow"/>
        </w:rPr>
        <w:t xml:space="preserve">with </w:t>
      </w:r>
      <w:r w:rsidR="004527D4">
        <w:rPr>
          <w:highlight w:val="yellow"/>
        </w:rPr>
        <w:t>previous works of</w:t>
      </w:r>
      <w:r w:rsidR="006D7EBB" w:rsidRPr="006D7EBB">
        <w:rPr>
          <w:highlight w:val="yellow"/>
        </w:rPr>
        <w:t xml:space="preserve"> SA scho</w:t>
      </w:r>
      <w:r w:rsidR="006D7EBB">
        <w:rPr>
          <w:highlight w:val="yellow"/>
        </w:rPr>
        <w:t>lars</w:t>
      </w:r>
      <w:r w:rsidR="006D7EBB" w:rsidRPr="006D7EBB">
        <w:rPr>
          <w:highlight w:val="yellow"/>
        </w:rPr>
        <w:t xml:space="preserve"> and the</w:t>
      </w:r>
      <w:r w:rsidR="006D7EBB">
        <w:rPr>
          <w:highlight w:val="yellow"/>
        </w:rPr>
        <w:t xml:space="preserve"> experiences</w:t>
      </w:r>
      <w:r w:rsidR="006D7EBB" w:rsidRPr="006D7EBB">
        <w:rPr>
          <w:highlight w:val="yellow"/>
        </w:rPr>
        <w:t xml:space="preserve"> of the first author.</w:t>
      </w:r>
      <w:r w:rsidR="006D7EBB">
        <w:t xml:space="preserve"> </w:t>
      </w:r>
      <w:r w:rsidR="003032E9">
        <w:t xml:space="preserve">Some of the items in </w:t>
      </w:r>
      <w:r w:rsidR="00E05D8D">
        <w:t xml:space="preserve">the </w:t>
      </w:r>
      <w:r w:rsidR="00570561">
        <w:t>SMILE</w:t>
      </w:r>
      <w:r w:rsidR="003032E9">
        <w:t xml:space="preserve"> have been described as tactics of </w:t>
      </w:r>
      <w:proofErr w:type="gramStart"/>
      <w:r w:rsidR="003032E9">
        <w:t>in-laws</w:t>
      </w:r>
      <w:proofErr w:type="gramEnd"/>
      <w:r w:rsidR="003032E9">
        <w:t xml:space="preserve"> abuse in th</w:t>
      </w:r>
      <w:r w:rsidR="003312BD">
        <w:t>e</w:t>
      </w:r>
      <w:r w:rsidR="003032E9">
        <w:t xml:space="preserve"> works of previous SA scholars (</w:t>
      </w:r>
      <w:r w:rsidR="003312BD">
        <w:t xml:space="preserve">Ahmad-Stout et al., 2021; </w:t>
      </w:r>
      <w:r w:rsidR="003032E9">
        <w:t xml:space="preserve">Bhandari </w:t>
      </w:r>
      <w:r w:rsidR="00351106">
        <w:t>and</w:t>
      </w:r>
      <w:r w:rsidR="003032E9">
        <w:t xml:space="preserve"> Hughes, 2017;</w:t>
      </w:r>
      <w:r w:rsidR="003312BD">
        <w:t xml:space="preserve"> Goel, 2005; Mirza, 2017; </w:t>
      </w:r>
      <w:r w:rsidR="005C13BD" w:rsidRPr="005C13BD">
        <w:rPr>
          <w:highlight w:val="yellow"/>
        </w:rPr>
        <w:t xml:space="preserve">Mahapatra </w:t>
      </w:r>
      <w:r w:rsidR="00351106">
        <w:rPr>
          <w:highlight w:val="yellow"/>
        </w:rPr>
        <w:t>and</w:t>
      </w:r>
      <w:r w:rsidR="005C13BD" w:rsidRPr="005C13BD">
        <w:rPr>
          <w:highlight w:val="yellow"/>
        </w:rPr>
        <w:t xml:space="preserve"> Rai, 2019</w:t>
      </w:r>
      <w:r w:rsidR="003312BD">
        <w:t xml:space="preserve">). These tactics especially relate to the </w:t>
      </w:r>
      <w:r w:rsidR="003312BD" w:rsidRPr="00EA2154">
        <w:t>items regarding emotional, financial</w:t>
      </w:r>
      <w:r w:rsidR="00A558A4">
        <w:t>,</w:t>
      </w:r>
      <w:r w:rsidR="003312BD" w:rsidRPr="00EA2154">
        <w:t xml:space="preserve"> and physical abuse by in-laws. </w:t>
      </w:r>
    </w:p>
    <w:p w14:paraId="1E78C0DD" w14:textId="0FEF1083" w:rsidR="00AF35A8" w:rsidRPr="00AF35A8" w:rsidRDefault="003312BD" w:rsidP="004C50EF">
      <w:pPr>
        <w:spacing w:line="480" w:lineRule="auto"/>
        <w:ind w:firstLine="720"/>
      </w:pPr>
      <w:r w:rsidRPr="00EA2154">
        <w:t>Further,</w:t>
      </w:r>
      <w:r w:rsidR="003032E9" w:rsidRPr="00EA2154">
        <w:t xml:space="preserve"> </w:t>
      </w:r>
      <w:r w:rsidRPr="00EA2154">
        <w:t>t</w:t>
      </w:r>
      <w:r w:rsidR="00D33790" w:rsidRPr="00EA2154">
        <w:t xml:space="preserve">he SA identity </w:t>
      </w:r>
      <w:r w:rsidR="0031678B" w:rsidRPr="00EA2154">
        <w:t xml:space="preserve">and lived experiences </w:t>
      </w:r>
      <w:r w:rsidR="00D33790" w:rsidRPr="00EA2154">
        <w:t xml:space="preserve">of the first author </w:t>
      </w:r>
      <w:r w:rsidR="0031678B" w:rsidRPr="00EA2154">
        <w:t xml:space="preserve">along with </w:t>
      </w:r>
      <w:r w:rsidR="00D33790" w:rsidRPr="00EA2154">
        <w:t>positionality in the U.S. allowed her to closely decipher how attributes within the SA culture can allow for not just the partner/spouse to perpetrate abuse but</w:t>
      </w:r>
      <w:r w:rsidR="00C10923" w:rsidRPr="00EA2154">
        <w:t xml:space="preserve"> for this to also extend to</w:t>
      </w:r>
      <w:r w:rsidR="00D33790" w:rsidRPr="00EA2154">
        <w:t xml:space="preserve"> include in-laws. </w:t>
      </w:r>
      <w:r w:rsidRPr="00EA2154">
        <w:t>Of note is that there is no existing stand</w:t>
      </w:r>
      <w:r w:rsidR="0031678B" w:rsidRPr="00EA2154">
        <w:t>-</w:t>
      </w:r>
      <w:r w:rsidRPr="00EA2154">
        <w:t>alone instrument to either gauge the perceptions of in-laws abuse or record prevalence rates. Hence utilizing</w:t>
      </w:r>
      <w:r>
        <w:t xml:space="preserve"> an approach by coalescing the literature, soliciting feedback from the SA community and community agencies, as well as utilizing the Power and Control Wheel were pivotal in building this instrument. </w:t>
      </w:r>
      <w:r w:rsidR="00756874" w:rsidRPr="00756874">
        <w:rPr>
          <w:highlight w:val="yellow"/>
        </w:rPr>
        <w:t xml:space="preserve">The items included in the SMILE were exploratory due to this being the first scale to investigate </w:t>
      </w:r>
      <w:r w:rsidR="004527D4">
        <w:rPr>
          <w:highlight w:val="yellow"/>
        </w:rPr>
        <w:t xml:space="preserve">how </w:t>
      </w:r>
      <w:r w:rsidR="00756874" w:rsidRPr="00756874">
        <w:rPr>
          <w:highlight w:val="yellow"/>
        </w:rPr>
        <w:t xml:space="preserve">in-laws abuse manifests in SA </w:t>
      </w:r>
      <w:r w:rsidR="00756874" w:rsidRPr="00756874">
        <w:rPr>
          <w:highlight w:val="yellow"/>
        </w:rPr>
        <w:lastRenderedPageBreak/>
        <w:t>communities. Therefore, overlap</w:t>
      </w:r>
      <w:r w:rsidR="003C436F">
        <w:rPr>
          <w:highlight w:val="yellow"/>
        </w:rPr>
        <w:t>ping items</w:t>
      </w:r>
      <w:r w:rsidR="00756874" w:rsidRPr="00756874">
        <w:rPr>
          <w:highlight w:val="yellow"/>
        </w:rPr>
        <w:t xml:space="preserve"> in the works of previous scholars, the lived experiences of the first author</w:t>
      </w:r>
      <w:r w:rsidR="003C436F">
        <w:rPr>
          <w:highlight w:val="yellow"/>
        </w:rPr>
        <w:t>,</w:t>
      </w:r>
      <w:r w:rsidR="00756874" w:rsidRPr="00756874">
        <w:rPr>
          <w:highlight w:val="yellow"/>
        </w:rPr>
        <w:t xml:space="preserve"> and the Power and Control Wheel were included in the scale. </w:t>
      </w:r>
      <w:r w:rsidR="00AE3562">
        <w:rPr>
          <w:highlight w:val="yellow"/>
        </w:rPr>
        <w:t>While</w:t>
      </w:r>
      <w:r w:rsidR="00756874" w:rsidRPr="00756874">
        <w:rPr>
          <w:highlight w:val="yellow"/>
        </w:rPr>
        <w:t xml:space="preserve"> these items may not be exhaustive</w:t>
      </w:r>
      <w:r w:rsidR="000F4FD7">
        <w:rPr>
          <w:highlight w:val="yellow"/>
        </w:rPr>
        <w:t xml:space="preserve">, </w:t>
      </w:r>
      <w:r w:rsidR="00756874" w:rsidRPr="00756874">
        <w:rPr>
          <w:highlight w:val="yellow"/>
        </w:rPr>
        <w:t>it is a start toward investigating in-laws abuse among immigrant communities.</w:t>
      </w:r>
      <w:r w:rsidR="00756874">
        <w:t xml:space="preserve"> </w:t>
      </w:r>
    </w:p>
    <w:p w14:paraId="2A427288" w14:textId="29970C58" w:rsidR="00C70C2E" w:rsidRDefault="009956CB" w:rsidP="009956CB">
      <w:pPr>
        <w:spacing w:line="480" w:lineRule="auto"/>
      </w:pPr>
      <w:r>
        <w:tab/>
      </w:r>
      <w:r w:rsidR="00C70C2E" w:rsidRPr="00C94F35">
        <w:t>The SMILE</w:t>
      </w:r>
      <w:r w:rsidR="00AD6567" w:rsidRPr="00C94F35">
        <w:t xml:space="preserve"> </w:t>
      </w:r>
      <w:r w:rsidR="00C70C2E" w:rsidRPr="00C94F35">
        <w:t xml:space="preserve">was developed </w:t>
      </w:r>
      <w:r w:rsidR="007A739F">
        <w:t xml:space="preserve">as a stand-alone scale </w:t>
      </w:r>
      <w:r w:rsidR="00C70C2E" w:rsidRPr="00C94F35">
        <w:t>and was</w:t>
      </w:r>
      <w:r w:rsidR="007A739F">
        <w:t xml:space="preserve"> administered along with</w:t>
      </w:r>
      <w:r w:rsidR="00C70C2E" w:rsidRPr="00C94F35">
        <w:t xml:space="preserve"> the</w:t>
      </w:r>
      <w:r w:rsidR="00C3125A" w:rsidRPr="00C94F35">
        <w:t xml:space="preserve"> Perceptions and Attitudes Toward Domestic Violence Questionnaire-Revised (PADV-R); specifically following the Definitions of Domestic Violence Scale. The</w:t>
      </w:r>
      <w:r w:rsidR="00C3125A">
        <w:t xml:space="preserve"> PADV-R</w:t>
      </w:r>
      <w:r>
        <w:t xml:space="preserve"> was </w:t>
      </w:r>
      <w:r w:rsidR="00787C12">
        <w:t xml:space="preserve">originally created by </w:t>
      </w:r>
      <w:proofErr w:type="spellStart"/>
      <w:r w:rsidR="00787C12">
        <w:t>Yick</w:t>
      </w:r>
      <w:proofErr w:type="spellEnd"/>
      <w:r w:rsidR="00787C12">
        <w:t xml:space="preserve"> (1997) to measure DV perceptions among Chinese immigrants. </w:t>
      </w:r>
      <w:r>
        <w:t xml:space="preserve">This scale was subsequently tested and validated with Korean immigrants by </w:t>
      </w:r>
      <w:proofErr w:type="spellStart"/>
      <w:r>
        <w:t>Ahn</w:t>
      </w:r>
      <w:proofErr w:type="spellEnd"/>
      <w:r>
        <w:t xml:space="preserve"> (2002). The items in the PADV-R were measured on a Likert-type scale, where 1 indicates “strongly agree” and 6 indicates “strongly disagree.” Hence, to keep the scoring consistent with the items in the PADV-R, the items within the SMILE followed the same scoring format. The SMILE is a brief, 4-item instrument</w:t>
      </w:r>
      <w:r w:rsidR="00452F5A">
        <w:t xml:space="preserve"> measuring the perceptions of </w:t>
      </w:r>
      <w:r>
        <w:t xml:space="preserve">in-laws exploitation and abuse among SA immigrants. </w:t>
      </w:r>
      <w:r w:rsidR="007578B5">
        <w:t xml:space="preserve">It was copyrighted in 2020 by the first author. </w:t>
      </w:r>
      <w:r w:rsidR="00412593">
        <w:t xml:space="preserve">In the survey section prior to introducing the SMILE items, participants were asked to numerically express their opinions about what constituted violence between couples. </w:t>
      </w:r>
      <w:r w:rsidR="0031678B">
        <w:t>It is imperative to state that</w:t>
      </w:r>
      <w:r w:rsidR="00452F5A">
        <w:t xml:space="preserve"> the </w:t>
      </w:r>
      <w:r w:rsidR="00C67228">
        <w:t xml:space="preserve">items included in this scale could </w:t>
      </w:r>
      <w:r w:rsidR="00452F5A">
        <w:t>be used</w:t>
      </w:r>
      <w:r w:rsidR="00C67228">
        <w:t xml:space="preserve"> in the future</w:t>
      </w:r>
      <w:r w:rsidR="00452F5A">
        <w:t xml:space="preserve"> to </w:t>
      </w:r>
      <w:r w:rsidR="00924C91">
        <w:t>establish</w:t>
      </w:r>
      <w:r w:rsidR="00452F5A">
        <w:t xml:space="preserve"> in-laws abuse prevalence rates</w:t>
      </w:r>
      <w:r w:rsidR="00CF3540">
        <w:t xml:space="preserve"> by using the items within an asse</w:t>
      </w:r>
      <w:r w:rsidR="0074104F">
        <w:t>ss</w:t>
      </w:r>
      <w:r w:rsidR="00CF3540">
        <w:t>ment tool</w:t>
      </w:r>
      <w:r w:rsidR="00452F5A">
        <w:t xml:space="preserve">. </w:t>
      </w:r>
    </w:p>
    <w:p w14:paraId="22C1655C" w14:textId="391EB1AC" w:rsidR="00C519F3" w:rsidRDefault="00C519F3" w:rsidP="009956CB">
      <w:pPr>
        <w:spacing w:line="480" w:lineRule="auto"/>
      </w:pPr>
      <w:r>
        <w:tab/>
      </w:r>
      <w:r w:rsidRPr="00D75AA1">
        <w:rPr>
          <w:highlight w:val="yellow"/>
        </w:rPr>
        <w:t xml:space="preserve">The items included in </w:t>
      </w:r>
      <w:r w:rsidR="00E05D8D">
        <w:rPr>
          <w:highlight w:val="yellow"/>
        </w:rPr>
        <w:t xml:space="preserve">the </w:t>
      </w:r>
      <w:r w:rsidRPr="00D75AA1">
        <w:rPr>
          <w:highlight w:val="yellow"/>
        </w:rPr>
        <w:t xml:space="preserve">SMILE </w:t>
      </w:r>
      <w:r w:rsidR="00D75AA1" w:rsidRPr="00D75AA1">
        <w:rPr>
          <w:highlight w:val="yellow"/>
        </w:rPr>
        <w:t xml:space="preserve">were developed to focus on </w:t>
      </w:r>
      <w:r w:rsidR="000F4FD7">
        <w:rPr>
          <w:highlight w:val="yellow"/>
        </w:rPr>
        <w:t xml:space="preserve">how </w:t>
      </w:r>
      <w:r w:rsidR="00D75AA1" w:rsidRPr="00D75AA1">
        <w:rPr>
          <w:highlight w:val="yellow"/>
        </w:rPr>
        <w:t>in-laws abuse can surface in SA cultures</w:t>
      </w:r>
      <w:r w:rsidR="001A0708">
        <w:rPr>
          <w:highlight w:val="yellow"/>
        </w:rPr>
        <w:t>,</w:t>
      </w:r>
      <w:r w:rsidR="00D75AA1" w:rsidRPr="00D75AA1">
        <w:rPr>
          <w:highlight w:val="yellow"/>
        </w:rPr>
        <w:t xml:space="preserve"> </w:t>
      </w:r>
      <w:r w:rsidR="000F4FD7">
        <w:rPr>
          <w:highlight w:val="yellow"/>
        </w:rPr>
        <w:t xml:space="preserve">(e.g., </w:t>
      </w:r>
      <w:r w:rsidR="00D75AA1" w:rsidRPr="00D75AA1">
        <w:rPr>
          <w:highlight w:val="yellow"/>
        </w:rPr>
        <w:t>emotional, financial, verbal and physical harm by in-laws.</w:t>
      </w:r>
      <w:r w:rsidR="00D75AA1">
        <w:t xml:space="preserve"> </w:t>
      </w:r>
      <w:r w:rsidR="00D75AA1" w:rsidRPr="00A74302">
        <w:rPr>
          <w:highlight w:val="yellow"/>
        </w:rPr>
        <w:t xml:space="preserve">To allow participants the opportunity to respond broadly to the coercive tactics perpetrated by in-laws, specific behaviors </w:t>
      </w:r>
      <w:r w:rsidR="00977C6A">
        <w:rPr>
          <w:highlight w:val="yellow"/>
        </w:rPr>
        <w:t xml:space="preserve">(e.g., </w:t>
      </w:r>
      <w:r w:rsidR="00D75AA1" w:rsidRPr="00A74302">
        <w:rPr>
          <w:highlight w:val="yellow"/>
        </w:rPr>
        <w:t>publicly screaming, isolating from family as opposed to friends, or co</w:t>
      </w:r>
      <w:r w:rsidR="006E2A05" w:rsidRPr="00A74302">
        <w:rPr>
          <w:highlight w:val="yellow"/>
        </w:rPr>
        <w:t>n</w:t>
      </w:r>
      <w:r w:rsidR="00D75AA1" w:rsidRPr="00A74302">
        <w:rPr>
          <w:highlight w:val="yellow"/>
        </w:rPr>
        <w:t>trolling bank transactions</w:t>
      </w:r>
      <w:r w:rsidR="00977C6A">
        <w:rPr>
          <w:highlight w:val="yellow"/>
        </w:rPr>
        <w:t>,</w:t>
      </w:r>
      <w:r w:rsidR="00D75AA1" w:rsidRPr="00A74302">
        <w:rPr>
          <w:highlight w:val="yellow"/>
        </w:rPr>
        <w:t xml:space="preserve"> </w:t>
      </w:r>
      <w:r w:rsidR="00A74302" w:rsidRPr="00A74302">
        <w:rPr>
          <w:highlight w:val="yellow"/>
        </w:rPr>
        <w:t>etc.</w:t>
      </w:r>
      <w:r w:rsidR="00977C6A">
        <w:rPr>
          <w:highlight w:val="yellow"/>
        </w:rPr>
        <w:t>)</w:t>
      </w:r>
      <w:r w:rsidR="00A74302" w:rsidRPr="00A74302">
        <w:rPr>
          <w:highlight w:val="yellow"/>
        </w:rPr>
        <w:t xml:space="preserve"> </w:t>
      </w:r>
      <w:r w:rsidR="00D75AA1" w:rsidRPr="00A74302">
        <w:rPr>
          <w:highlight w:val="yellow"/>
        </w:rPr>
        <w:t xml:space="preserve">were not used. Utilizing language that was representative of a </w:t>
      </w:r>
      <w:r w:rsidR="00D75AA1" w:rsidRPr="00A74302">
        <w:rPr>
          <w:highlight w:val="yellow"/>
        </w:rPr>
        <w:lastRenderedPageBreak/>
        <w:t>type of abuse</w:t>
      </w:r>
      <w:r w:rsidR="00A74302" w:rsidRPr="00A74302">
        <w:rPr>
          <w:highlight w:val="yellow"/>
        </w:rPr>
        <w:t xml:space="preserve"> (physical, emotional, financial, verbal)</w:t>
      </w:r>
      <w:r w:rsidR="00D75AA1" w:rsidRPr="00A74302">
        <w:rPr>
          <w:highlight w:val="yellow"/>
        </w:rPr>
        <w:t xml:space="preserve"> rather than a specific coercive mechanism allowed us to elicit responses from participants which would probably not have been possible had we </w:t>
      </w:r>
      <w:r w:rsidR="006D3805">
        <w:rPr>
          <w:highlight w:val="yellow"/>
        </w:rPr>
        <w:t xml:space="preserve">included </w:t>
      </w:r>
      <w:r w:rsidR="00D75AA1" w:rsidRPr="00A74302">
        <w:rPr>
          <w:highlight w:val="yellow"/>
        </w:rPr>
        <w:t>specific tactics</w:t>
      </w:r>
      <w:r w:rsidR="00A74302" w:rsidRPr="00A74302">
        <w:rPr>
          <w:highlight w:val="yellow"/>
        </w:rPr>
        <w:t xml:space="preserve">. </w:t>
      </w:r>
      <w:r w:rsidR="00365C25">
        <w:rPr>
          <w:highlight w:val="yellow"/>
        </w:rPr>
        <w:t xml:space="preserve">Although the SA community shares some cultural similarities, </w:t>
      </w:r>
      <w:r w:rsidR="00A74302" w:rsidRPr="00A74302">
        <w:rPr>
          <w:highlight w:val="yellow"/>
        </w:rPr>
        <w:t xml:space="preserve">the subgroups within the community have </w:t>
      </w:r>
      <w:r w:rsidR="00365C25">
        <w:rPr>
          <w:highlight w:val="yellow"/>
        </w:rPr>
        <w:t>distinct</w:t>
      </w:r>
      <w:r w:rsidR="00A74302" w:rsidRPr="00A74302">
        <w:rPr>
          <w:highlight w:val="yellow"/>
        </w:rPr>
        <w:t xml:space="preserve"> culture and norms, therefore </w:t>
      </w:r>
      <w:r w:rsidR="006E2A05" w:rsidRPr="00A74302">
        <w:rPr>
          <w:highlight w:val="yellow"/>
        </w:rPr>
        <w:t xml:space="preserve">these tactics could vary </w:t>
      </w:r>
      <w:r w:rsidR="00F96A33">
        <w:rPr>
          <w:highlight w:val="yellow"/>
        </w:rPr>
        <w:t>among families</w:t>
      </w:r>
      <w:r w:rsidR="00A74302" w:rsidRPr="00A74302">
        <w:rPr>
          <w:highlight w:val="yellow"/>
        </w:rPr>
        <w:t xml:space="preserve"> </w:t>
      </w:r>
      <w:r w:rsidR="006D3805">
        <w:rPr>
          <w:highlight w:val="yellow"/>
        </w:rPr>
        <w:t>and subgroups</w:t>
      </w:r>
      <w:r w:rsidR="002150DF">
        <w:rPr>
          <w:highlight w:val="yellow"/>
        </w:rPr>
        <w:t xml:space="preserve"> </w:t>
      </w:r>
      <w:r w:rsidR="00A74302" w:rsidRPr="00A74302">
        <w:rPr>
          <w:highlight w:val="yellow"/>
        </w:rPr>
        <w:t>(Reddy, 2019)</w:t>
      </w:r>
      <w:r w:rsidR="006E2A05" w:rsidRPr="00A74302">
        <w:rPr>
          <w:highlight w:val="yellow"/>
        </w:rPr>
        <w:t>.</w:t>
      </w:r>
      <w:r w:rsidR="006E2A05">
        <w:t xml:space="preserve"> </w:t>
      </w:r>
    </w:p>
    <w:p w14:paraId="1CC67647" w14:textId="0F79866A" w:rsidR="009D2BD7" w:rsidRDefault="00AD6567" w:rsidP="00FF1516">
      <w:pPr>
        <w:spacing w:line="480" w:lineRule="auto"/>
      </w:pPr>
      <w:r>
        <w:tab/>
      </w:r>
      <w:r w:rsidR="000268B4">
        <w:t xml:space="preserve">The process of creating the SMILE began with </w:t>
      </w:r>
      <w:r w:rsidR="00F723D1">
        <w:t xml:space="preserve">the collection of </w:t>
      </w:r>
      <w:r>
        <w:t xml:space="preserve">data for </w:t>
      </w:r>
      <w:r w:rsidR="00F723D1">
        <w:t>a larger study that examined the perceptions and attitudes toward DV, experiences and help-seeking preferences among SA community members</w:t>
      </w:r>
      <w:r>
        <w:t xml:space="preserve"> </w:t>
      </w:r>
      <w:r w:rsidRPr="005C13BD">
        <w:rPr>
          <w:highlight w:val="yellow"/>
        </w:rPr>
        <w:t>(</w:t>
      </w:r>
      <w:r w:rsidR="005C13BD" w:rsidRPr="005C13BD">
        <w:rPr>
          <w:highlight w:val="yellow"/>
        </w:rPr>
        <w:t>Rai, 2020a</w:t>
      </w:r>
      <w:r w:rsidRPr="005C13BD">
        <w:rPr>
          <w:highlight w:val="yellow"/>
        </w:rPr>
        <w:t>).</w:t>
      </w:r>
      <w:r>
        <w:t xml:space="preserve"> Data was collected utilizing a cross-sectional</w:t>
      </w:r>
      <w:r w:rsidR="00C10923">
        <w:t>, 15-20 minute</w:t>
      </w:r>
      <w:r w:rsidR="006D4F1D">
        <w:t xml:space="preserve"> survey (Engel </w:t>
      </w:r>
      <w:r w:rsidR="00351106">
        <w:t>and</w:t>
      </w:r>
      <w:r w:rsidR="006D4F1D">
        <w:t xml:space="preserve"> Schutt, 2013).</w:t>
      </w:r>
      <w:r>
        <w:t xml:space="preserve"> </w:t>
      </w:r>
      <w:r w:rsidR="00962394">
        <w:t>Prior to t</w:t>
      </w:r>
      <w:r w:rsidR="001547C3">
        <w:t>esting</w:t>
      </w:r>
      <w:r w:rsidR="00664F81">
        <w:t xml:space="preserve"> the scale</w:t>
      </w:r>
      <w:r w:rsidR="00542518">
        <w:t xml:space="preserve"> among a larger sample</w:t>
      </w:r>
      <w:r>
        <w:t xml:space="preserve">, a pilot study with </w:t>
      </w:r>
      <w:r w:rsidRPr="0014353A">
        <w:rPr>
          <w:i/>
          <w:iCs/>
        </w:rPr>
        <w:t>n</w:t>
      </w:r>
      <w:r w:rsidR="00C10923">
        <w:t xml:space="preserve"> </w:t>
      </w:r>
      <w:r>
        <w:t>=14 participants was conducted</w:t>
      </w:r>
      <w:r w:rsidR="006D4F1D">
        <w:t xml:space="preserve">, as recommended </w:t>
      </w:r>
      <w:proofErr w:type="spellStart"/>
      <w:r w:rsidR="006D4F1D">
        <w:t>Aday</w:t>
      </w:r>
      <w:proofErr w:type="spellEnd"/>
      <w:r w:rsidR="006D4F1D">
        <w:t xml:space="preserve"> </w:t>
      </w:r>
      <w:r w:rsidR="005A013A">
        <w:t xml:space="preserve">and </w:t>
      </w:r>
      <w:r w:rsidR="006D4F1D">
        <w:t>Cornelis (2006)</w:t>
      </w:r>
      <w:r w:rsidR="009244BA">
        <w:t xml:space="preserve"> and Martinez et al. (2008)</w:t>
      </w:r>
      <w:r>
        <w:t xml:space="preserve">. </w:t>
      </w:r>
      <w:r w:rsidR="009D2BD7" w:rsidRPr="009D2BD7">
        <w:rPr>
          <w:highlight w:val="yellow"/>
        </w:rPr>
        <w:t xml:space="preserve">Of the </w:t>
      </w:r>
      <w:r w:rsidR="002A15A1">
        <w:rPr>
          <w:highlight w:val="yellow"/>
        </w:rPr>
        <w:t>fourteen</w:t>
      </w:r>
      <w:r w:rsidR="009D2BD7" w:rsidRPr="009D2BD7">
        <w:rPr>
          <w:highlight w:val="yellow"/>
        </w:rPr>
        <w:t xml:space="preserve"> participants, </w:t>
      </w:r>
      <w:r w:rsidR="002A15A1">
        <w:rPr>
          <w:highlight w:val="yellow"/>
        </w:rPr>
        <w:t>nine</w:t>
      </w:r>
      <w:r w:rsidR="009D2BD7" w:rsidRPr="009D2BD7">
        <w:rPr>
          <w:highlight w:val="yellow"/>
        </w:rPr>
        <w:t xml:space="preserve"> identified as female and </w:t>
      </w:r>
      <w:r w:rsidR="002A15A1">
        <w:rPr>
          <w:highlight w:val="yellow"/>
        </w:rPr>
        <w:t>five</w:t>
      </w:r>
      <w:r w:rsidR="009D2BD7" w:rsidRPr="009D2BD7">
        <w:rPr>
          <w:highlight w:val="yellow"/>
        </w:rPr>
        <w:t xml:space="preserve"> identified as male. In terms of the participant country, </w:t>
      </w:r>
      <w:r w:rsidR="002A15A1">
        <w:rPr>
          <w:highlight w:val="yellow"/>
        </w:rPr>
        <w:t>five</w:t>
      </w:r>
      <w:r w:rsidR="009D2BD7" w:rsidRPr="009D2BD7">
        <w:rPr>
          <w:highlight w:val="yellow"/>
        </w:rPr>
        <w:t xml:space="preserve"> were from Canada, </w:t>
      </w:r>
      <w:r w:rsidR="002A15A1">
        <w:rPr>
          <w:highlight w:val="yellow"/>
        </w:rPr>
        <w:t>two</w:t>
      </w:r>
      <w:r w:rsidR="009D2BD7" w:rsidRPr="009D2BD7">
        <w:rPr>
          <w:highlight w:val="yellow"/>
        </w:rPr>
        <w:t xml:space="preserve"> from Australia, </w:t>
      </w:r>
      <w:r w:rsidR="002A15A1">
        <w:rPr>
          <w:highlight w:val="yellow"/>
        </w:rPr>
        <w:t>five</w:t>
      </w:r>
      <w:r w:rsidR="009D2BD7" w:rsidRPr="009D2BD7">
        <w:rPr>
          <w:highlight w:val="yellow"/>
        </w:rPr>
        <w:t xml:space="preserve"> f</w:t>
      </w:r>
      <w:r w:rsidR="00245346">
        <w:rPr>
          <w:highlight w:val="yellow"/>
        </w:rPr>
        <w:t>ro</w:t>
      </w:r>
      <w:r w:rsidR="009D2BD7" w:rsidRPr="009D2BD7">
        <w:rPr>
          <w:highlight w:val="yellow"/>
        </w:rPr>
        <w:t xml:space="preserve">m the United Kingdom and </w:t>
      </w:r>
      <w:r w:rsidR="002A15A1">
        <w:rPr>
          <w:highlight w:val="yellow"/>
        </w:rPr>
        <w:t>two</w:t>
      </w:r>
      <w:r w:rsidR="009D2BD7" w:rsidRPr="009D2BD7">
        <w:rPr>
          <w:highlight w:val="yellow"/>
        </w:rPr>
        <w:t xml:space="preserve"> from Poland. </w:t>
      </w:r>
      <w:r w:rsidR="003C2027">
        <w:rPr>
          <w:highlight w:val="yellow"/>
        </w:rPr>
        <w:t>The majority of the participants (n=12)</w:t>
      </w:r>
      <w:r w:rsidR="009D2BD7" w:rsidRPr="009D2BD7">
        <w:rPr>
          <w:highlight w:val="yellow"/>
        </w:rPr>
        <w:t xml:space="preserve"> were Indians, </w:t>
      </w:r>
      <w:r w:rsidR="002A15A1">
        <w:rPr>
          <w:highlight w:val="yellow"/>
        </w:rPr>
        <w:t>one</w:t>
      </w:r>
      <w:r w:rsidR="009D2BD7" w:rsidRPr="009D2BD7">
        <w:rPr>
          <w:highlight w:val="yellow"/>
        </w:rPr>
        <w:t xml:space="preserve"> was Pakistani and </w:t>
      </w:r>
      <w:r w:rsidR="002A15A1">
        <w:rPr>
          <w:highlight w:val="yellow"/>
        </w:rPr>
        <w:t>one</w:t>
      </w:r>
      <w:r w:rsidR="009D2BD7" w:rsidRPr="009D2BD7">
        <w:rPr>
          <w:highlight w:val="yellow"/>
        </w:rPr>
        <w:t xml:space="preserve"> Maldivian. The religious composition of the participants indicated that </w:t>
      </w:r>
      <w:r w:rsidR="002A15A1">
        <w:rPr>
          <w:highlight w:val="yellow"/>
        </w:rPr>
        <w:t xml:space="preserve">eight </w:t>
      </w:r>
      <w:r w:rsidR="009D2BD7" w:rsidRPr="009D2BD7">
        <w:rPr>
          <w:highlight w:val="yellow"/>
        </w:rPr>
        <w:t xml:space="preserve">practiced Hinduism, </w:t>
      </w:r>
      <w:r w:rsidR="002A15A1">
        <w:rPr>
          <w:highlight w:val="yellow"/>
        </w:rPr>
        <w:t>one</w:t>
      </w:r>
      <w:r w:rsidR="009D2BD7" w:rsidRPr="009D2BD7">
        <w:rPr>
          <w:highlight w:val="yellow"/>
        </w:rPr>
        <w:t xml:space="preserve"> practiced Sikhism, </w:t>
      </w:r>
      <w:r w:rsidR="002A15A1">
        <w:rPr>
          <w:highlight w:val="yellow"/>
        </w:rPr>
        <w:t>one</w:t>
      </w:r>
      <w:r w:rsidR="009D2BD7" w:rsidRPr="009D2BD7">
        <w:rPr>
          <w:highlight w:val="yellow"/>
        </w:rPr>
        <w:t xml:space="preserve"> Islam and </w:t>
      </w:r>
      <w:r w:rsidR="002A15A1">
        <w:rPr>
          <w:highlight w:val="yellow"/>
        </w:rPr>
        <w:t>four</w:t>
      </w:r>
      <w:r w:rsidR="009D2BD7" w:rsidRPr="009D2BD7">
        <w:rPr>
          <w:highlight w:val="yellow"/>
        </w:rPr>
        <w:t xml:space="preserve"> preferred not to answer the question.</w:t>
      </w:r>
      <w:r w:rsidR="009D2BD7">
        <w:t xml:space="preserve"> </w:t>
      </w:r>
      <w:r w:rsidR="009D2BD7" w:rsidRPr="009D2BD7">
        <w:rPr>
          <w:highlight w:val="yellow"/>
        </w:rPr>
        <w:t xml:space="preserve">Pilot testing allowed testing the accuracy and cultural responsivity of the survey </w:t>
      </w:r>
      <w:r w:rsidR="009D2BD7" w:rsidRPr="004B19E3">
        <w:rPr>
          <w:highlight w:val="yellow"/>
        </w:rPr>
        <w:t xml:space="preserve">with </w:t>
      </w:r>
      <w:r w:rsidR="004B19E3" w:rsidRPr="004B19E3">
        <w:rPr>
          <w:highlight w:val="yellow"/>
        </w:rPr>
        <w:t xml:space="preserve">SA community members, </w:t>
      </w:r>
      <w:proofErr w:type="spellStart"/>
      <w:r w:rsidR="004B19E3" w:rsidRPr="004B19E3">
        <w:rPr>
          <w:highlight w:val="yellow"/>
        </w:rPr>
        <w:t>poentially</w:t>
      </w:r>
      <w:proofErr w:type="spellEnd"/>
      <w:r w:rsidR="004B19E3" w:rsidRPr="004B19E3">
        <w:rPr>
          <w:highlight w:val="yellow"/>
        </w:rPr>
        <w:t xml:space="preserve"> similar to the participant profile for the main survey.</w:t>
      </w:r>
      <w:r w:rsidR="004B19E3">
        <w:t xml:space="preserve"> </w:t>
      </w:r>
      <w:r w:rsidR="00B85F5F" w:rsidRPr="008F5DA9">
        <w:rPr>
          <w:highlight w:val="yellow"/>
        </w:rPr>
        <w:t xml:space="preserve">Although not all SA countries were represented, </w:t>
      </w:r>
      <w:r w:rsidR="00066AD6" w:rsidRPr="008F5DA9">
        <w:rPr>
          <w:highlight w:val="yellow"/>
        </w:rPr>
        <w:t>the information</w:t>
      </w:r>
      <w:r w:rsidR="0005497A" w:rsidRPr="008F5DA9">
        <w:rPr>
          <w:highlight w:val="yellow"/>
        </w:rPr>
        <w:t xml:space="preserve"> obtained in the pilot study was </w:t>
      </w:r>
      <w:r w:rsidR="008F5DA9" w:rsidRPr="008F5DA9">
        <w:rPr>
          <w:highlight w:val="yellow"/>
        </w:rPr>
        <w:t xml:space="preserve">a helpful starting point. </w:t>
      </w:r>
      <w:r w:rsidR="009D2BD7" w:rsidRPr="008F5DA9">
        <w:rPr>
          <w:highlight w:val="yellow"/>
        </w:rPr>
        <w:t xml:space="preserve">  </w:t>
      </w:r>
    </w:p>
    <w:p w14:paraId="3CC07539" w14:textId="612B6D2D" w:rsidR="00AD6567" w:rsidRDefault="009D2BD7" w:rsidP="00FF1516">
      <w:pPr>
        <w:pStyle w:val="NormalWeb"/>
        <w:spacing w:before="0" w:beforeAutospacing="0" w:after="0" w:afterAutospacing="0" w:line="480" w:lineRule="auto"/>
      </w:pPr>
      <w:r>
        <w:tab/>
      </w:r>
      <w:r w:rsidR="00AD6567">
        <w:t xml:space="preserve">To reserve </w:t>
      </w:r>
      <w:r w:rsidR="00C13214">
        <w:t>SA</w:t>
      </w:r>
      <w:r w:rsidR="00AD6567">
        <w:t xml:space="preserve"> immigrants in the U.S. for the actual study, immigrants from foreign countries such as the United Kingdom, Australia, Canada</w:t>
      </w:r>
      <w:r w:rsidR="00D33790" w:rsidRPr="00D33790">
        <w:t>,</w:t>
      </w:r>
      <w:r w:rsidR="00AD6567">
        <w:t xml:space="preserve"> and Poland were recruited</w:t>
      </w:r>
      <w:r w:rsidR="00C10923">
        <w:t xml:space="preserve"> via</w:t>
      </w:r>
      <w:r w:rsidR="00AD6567">
        <w:t xml:space="preserve"> the personal networks of the </w:t>
      </w:r>
      <w:r w:rsidR="00962394">
        <w:t>first author</w:t>
      </w:r>
      <w:r w:rsidR="00C10923">
        <w:t xml:space="preserve"> and via</w:t>
      </w:r>
      <w:r w:rsidR="00AD6567">
        <w:t xml:space="preserve"> snowball sampling (Trochim </w:t>
      </w:r>
      <w:r w:rsidR="00351106">
        <w:t>and</w:t>
      </w:r>
      <w:r w:rsidR="00AD6567">
        <w:t xml:space="preserve"> Donnelly, 200</w:t>
      </w:r>
      <w:r w:rsidR="00952A52">
        <w:t>7</w:t>
      </w:r>
      <w:r w:rsidR="00AD6567">
        <w:t>). The goal of the pilot study was to test the clarity of the content</w:t>
      </w:r>
      <w:r w:rsidR="00664410">
        <w:t xml:space="preserve"> of the SMILE </w:t>
      </w:r>
      <w:r w:rsidR="00AD6567">
        <w:t xml:space="preserve">as well as other </w:t>
      </w:r>
      <w:r w:rsidR="00AD6567">
        <w:lastRenderedPageBreak/>
        <w:t xml:space="preserve">aspects of the modified PADV-R instrument. </w:t>
      </w:r>
      <w:r w:rsidR="00D71FFE">
        <w:t xml:space="preserve">The main feedback received was to neutralize the language used in the survey by eliminating the use of any language that would insinuate blame on “men.” </w:t>
      </w:r>
      <w:r w:rsidR="004B19E3" w:rsidRPr="004B19E3">
        <w:rPr>
          <w:rFonts w:ascii="TimesNewRomanPSMT" w:hAnsi="TimesNewRomanPSMT" w:cs="TimesNewRomanPSMT"/>
          <w:highlight w:val="yellow"/>
        </w:rPr>
        <w:t xml:space="preserve">For example, the </w:t>
      </w:r>
      <w:r w:rsidR="00BC44A4">
        <w:rPr>
          <w:rFonts w:ascii="TimesNewRomanPSMT" w:hAnsi="TimesNewRomanPSMT" w:cs="TimesNewRomanPSMT"/>
          <w:highlight w:val="yellow"/>
        </w:rPr>
        <w:t xml:space="preserve">prompt </w:t>
      </w:r>
      <w:r w:rsidR="004B19E3" w:rsidRPr="004B19E3">
        <w:rPr>
          <w:rFonts w:ascii="TimesNewRomanPSMT" w:hAnsi="TimesNewRomanPSMT" w:cs="TimesNewRomanPSMT"/>
          <w:highlight w:val="yellow"/>
        </w:rPr>
        <w:t>“_______ causes a man to use violence on his wife” was changed to “______causes an individual to use violence on their spouse/partner”</w:t>
      </w:r>
      <w:r w:rsidR="00BC44A4">
        <w:rPr>
          <w:rFonts w:ascii="TimesNewRomanPSMT" w:hAnsi="TimesNewRomanPSMT" w:cs="TimesNewRomanPSMT"/>
        </w:rPr>
        <w:t xml:space="preserve"> </w:t>
      </w:r>
      <w:r w:rsidR="00BC44A4" w:rsidRPr="00BC44A4">
        <w:rPr>
          <w:rFonts w:ascii="TimesNewRomanPSMT" w:hAnsi="TimesNewRomanPSMT" w:cs="TimesNewRomanPSMT"/>
          <w:highlight w:val="yellow"/>
        </w:rPr>
        <w:t>for an entire section of sub-questions.</w:t>
      </w:r>
      <w:r w:rsidR="004B19E3">
        <w:rPr>
          <w:rFonts w:ascii="TimesNewRomanPSMT" w:hAnsi="TimesNewRomanPSMT" w:cs="TimesNewRomanPSMT"/>
        </w:rPr>
        <w:t xml:space="preserve"> </w:t>
      </w:r>
      <w:r w:rsidR="00D71FFE" w:rsidRPr="004B19E3">
        <w:rPr>
          <w:highlight w:val="yellow"/>
        </w:rPr>
        <w:t xml:space="preserve">Subsequently, questions throughout the survey including the ones used in the SMILE were neutralized. </w:t>
      </w:r>
      <w:r w:rsidR="00643537">
        <w:rPr>
          <w:highlight w:val="yellow"/>
        </w:rPr>
        <w:t xml:space="preserve">Example, instead of the question, “interference about whereabouts by your husband’s parents” item, “interference about whereabouts by in-laws” was utilized. </w:t>
      </w:r>
      <w:r w:rsidR="004B19E3" w:rsidRPr="004B19E3">
        <w:rPr>
          <w:highlight w:val="yellow"/>
        </w:rPr>
        <w:t>Utilizing neutral language was imperative to invite all study participants to take the survey alike, without preconceived notions about their status (abuser versus perpetrator).</w:t>
      </w:r>
      <w:r w:rsidR="004B19E3">
        <w:t xml:space="preserve"> </w:t>
      </w:r>
      <w:r w:rsidR="004B19E3" w:rsidRPr="004B19E3">
        <w:rPr>
          <w:rFonts w:ascii="TimesNewRomanPSMT" w:hAnsi="TimesNewRomanPSMT" w:cs="TimesNewRomanPSMT"/>
          <w:highlight w:val="yellow"/>
        </w:rPr>
        <w:t xml:space="preserve">In addition to changing the language, some typos that were </w:t>
      </w:r>
      <w:r w:rsidR="00D41F36">
        <w:rPr>
          <w:rFonts w:ascii="TimesNewRomanPSMT" w:hAnsi="TimesNewRomanPSMT" w:cs="TimesNewRomanPSMT"/>
          <w:highlight w:val="yellow"/>
        </w:rPr>
        <w:t>identified</w:t>
      </w:r>
      <w:r w:rsidR="004B19E3" w:rsidRPr="004B19E3">
        <w:rPr>
          <w:rFonts w:ascii="TimesNewRomanPSMT" w:hAnsi="TimesNewRomanPSMT" w:cs="TimesNewRomanPSMT"/>
          <w:highlight w:val="yellow"/>
        </w:rPr>
        <w:t xml:space="preserve"> by study participants were corrected. Page breaks were added to make the survey more visually appealing.</w:t>
      </w:r>
      <w:r w:rsidR="004B19E3">
        <w:rPr>
          <w:rFonts w:ascii="TimesNewRomanPSMT" w:hAnsi="TimesNewRomanPSMT" w:cs="TimesNewRomanPSMT"/>
        </w:rPr>
        <w:t xml:space="preserve"> </w:t>
      </w:r>
      <w:r w:rsidR="004B19E3" w:rsidRPr="004B19E3">
        <w:rPr>
          <w:rFonts w:ascii="TimesNewRomanPSMT" w:hAnsi="TimesNewRomanPSMT" w:cs="TimesNewRomanPSMT"/>
          <w:highlight w:val="yellow"/>
        </w:rPr>
        <w:t xml:space="preserve">The pilot study was helpful in establishing the face validity and clarity of questions (Engel </w:t>
      </w:r>
      <w:r w:rsidR="00351106">
        <w:rPr>
          <w:rFonts w:ascii="TimesNewRomanPSMT" w:hAnsi="TimesNewRomanPSMT" w:cs="TimesNewRomanPSMT"/>
          <w:highlight w:val="yellow"/>
        </w:rPr>
        <w:t>and</w:t>
      </w:r>
      <w:r w:rsidR="004B19E3" w:rsidRPr="004B19E3">
        <w:rPr>
          <w:rFonts w:ascii="TimesNewRomanPSMT" w:hAnsi="TimesNewRomanPSMT" w:cs="TimesNewRomanPSMT"/>
          <w:highlight w:val="yellow"/>
        </w:rPr>
        <w:t xml:space="preserve"> Schutt, 2013).</w:t>
      </w:r>
      <w:r w:rsidR="004B19E3">
        <w:rPr>
          <w:rFonts w:ascii="TimesNewRomanPSMT" w:hAnsi="TimesNewRomanPSMT" w:cs="TimesNewRomanPSMT"/>
        </w:rPr>
        <w:t xml:space="preserve"> </w:t>
      </w:r>
      <w:r w:rsidR="00D94A90" w:rsidRPr="00D94A90">
        <w:rPr>
          <w:rFonts w:ascii="TimesNewRomanPSMT" w:hAnsi="TimesNewRomanPSMT" w:cs="TimesNewRomanPSMT"/>
          <w:highlight w:val="yellow"/>
        </w:rPr>
        <w:t>Through the pilot study</w:t>
      </w:r>
      <w:r w:rsidR="00403185">
        <w:rPr>
          <w:rFonts w:ascii="TimesNewRomanPSMT" w:hAnsi="TimesNewRomanPSMT" w:cs="TimesNewRomanPSMT"/>
          <w:highlight w:val="yellow"/>
        </w:rPr>
        <w:t xml:space="preserve">, </w:t>
      </w:r>
      <w:r w:rsidR="00215B8E">
        <w:rPr>
          <w:rFonts w:ascii="TimesNewRomanPSMT" w:hAnsi="TimesNewRomanPSMT" w:cs="TimesNewRomanPSMT"/>
          <w:highlight w:val="yellow"/>
        </w:rPr>
        <w:t>we were a</w:t>
      </w:r>
      <w:r w:rsidR="00B202C0">
        <w:rPr>
          <w:rFonts w:ascii="TimesNewRomanPSMT" w:hAnsi="TimesNewRomanPSMT" w:cs="TimesNewRomanPSMT"/>
          <w:highlight w:val="yellow"/>
        </w:rPr>
        <w:t xml:space="preserve">ble to ensure that </w:t>
      </w:r>
      <w:r w:rsidR="00D94A90" w:rsidRPr="00D94A90">
        <w:rPr>
          <w:rFonts w:ascii="TimesNewRomanPSMT" w:hAnsi="TimesNewRomanPSMT" w:cs="TimesNewRomanPSMT"/>
          <w:highlight w:val="yellow"/>
        </w:rPr>
        <w:t xml:space="preserve">the language </w:t>
      </w:r>
      <w:r w:rsidR="00D94A90">
        <w:rPr>
          <w:rFonts w:ascii="TimesNewRomanPSMT" w:hAnsi="TimesNewRomanPSMT" w:cs="TimesNewRomanPSMT"/>
          <w:highlight w:val="yellow"/>
        </w:rPr>
        <w:t>and content used</w:t>
      </w:r>
      <w:r w:rsidR="00B202C0">
        <w:rPr>
          <w:rFonts w:ascii="TimesNewRomanPSMT" w:hAnsi="TimesNewRomanPSMT" w:cs="TimesNewRomanPSMT"/>
          <w:highlight w:val="yellow"/>
        </w:rPr>
        <w:t xml:space="preserve"> was</w:t>
      </w:r>
      <w:r w:rsidR="00664B00">
        <w:rPr>
          <w:rFonts w:ascii="TimesNewRomanPSMT" w:hAnsi="TimesNewRomanPSMT" w:cs="TimesNewRomanPSMT"/>
          <w:highlight w:val="yellow"/>
        </w:rPr>
        <w:t xml:space="preserve"> easily understood and </w:t>
      </w:r>
      <w:r w:rsidR="00827F69">
        <w:rPr>
          <w:rFonts w:ascii="TimesNewRomanPSMT" w:hAnsi="TimesNewRomanPSMT" w:cs="TimesNewRomanPSMT"/>
          <w:highlight w:val="yellow"/>
        </w:rPr>
        <w:t xml:space="preserve">accurately </w:t>
      </w:r>
      <w:r w:rsidR="0079451E">
        <w:rPr>
          <w:rFonts w:ascii="TimesNewRomanPSMT" w:hAnsi="TimesNewRomanPSMT" w:cs="TimesNewRomanPSMT"/>
          <w:highlight w:val="yellow"/>
        </w:rPr>
        <w:t>reflective of in-law abuse</w:t>
      </w:r>
      <w:r w:rsidR="00D94A90" w:rsidRPr="00D94A90">
        <w:rPr>
          <w:rFonts w:ascii="TimesNewRomanPSMT" w:hAnsi="TimesNewRomanPSMT" w:cs="TimesNewRomanPSMT"/>
          <w:highlight w:val="yellow"/>
        </w:rPr>
        <w:t>.</w:t>
      </w:r>
      <w:r w:rsidR="00D94A90">
        <w:rPr>
          <w:rFonts w:ascii="TimesNewRomanPSMT" w:hAnsi="TimesNewRomanPSMT" w:cs="TimesNewRomanPSMT"/>
        </w:rPr>
        <w:t xml:space="preserve"> </w:t>
      </w:r>
      <w:r w:rsidR="00D71FFE">
        <w:t>Informal conversations with a few service providers</w:t>
      </w:r>
      <w:r w:rsidR="00CF6660">
        <w:t>, members of the SA community</w:t>
      </w:r>
      <w:r w:rsidR="00D71FFE">
        <w:t xml:space="preserve"> and DV experts were also sought to invite feedback on the items </w:t>
      </w:r>
      <w:r w:rsidR="0074104F">
        <w:t xml:space="preserve">included </w:t>
      </w:r>
      <w:r w:rsidR="00C94F35">
        <w:t>in</w:t>
      </w:r>
      <w:r w:rsidR="00D71FFE">
        <w:t xml:space="preserve"> the SMILE</w:t>
      </w:r>
      <w:r w:rsidR="00C94F35">
        <w:t xml:space="preserve">. </w:t>
      </w:r>
      <w:r w:rsidR="0031678B">
        <w:t>Feedback from service providers and DV experts</w:t>
      </w:r>
      <w:r w:rsidR="00881457">
        <w:t>,</w:t>
      </w:r>
      <w:r w:rsidR="0031678B">
        <w:t xml:space="preserve"> in addition to participants was vital due to the novelty of this instrument. South Asian service providers who engage with DV survivors</w:t>
      </w:r>
      <w:r w:rsidR="00DE4627">
        <w:t>;</w:t>
      </w:r>
      <w:r w:rsidR="0031678B">
        <w:t xml:space="preserve"> and experts who conduct research with survivors and SA communities</w:t>
      </w:r>
      <w:r w:rsidR="00DE4627">
        <w:t>,</w:t>
      </w:r>
      <w:r w:rsidR="0031678B">
        <w:t xml:space="preserve"> were able to offer insights into tactics that may translate into violence</w:t>
      </w:r>
      <w:r w:rsidR="00002AA9">
        <w:t>,</w:t>
      </w:r>
      <w:r w:rsidR="0031678B">
        <w:t xml:space="preserve"> due to the strong influence of in-laws in SA households. </w:t>
      </w:r>
      <w:r w:rsidR="00CF6660" w:rsidRPr="00DE4627">
        <w:t>Utilizing their own lived experiences, members of the SA community contributed by helping clarify that the</w:t>
      </w:r>
      <w:r w:rsidR="00CF6660">
        <w:t xml:space="preserve"> focus of the instrument needed to be on items focusing on physical, emotional and financial abuse as in the existing instrument. </w:t>
      </w:r>
      <w:r w:rsidR="0031678B">
        <w:t xml:space="preserve">Seeking </w:t>
      </w:r>
      <w:r w:rsidR="0031678B">
        <w:lastRenderedPageBreak/>
        <w:t xml:space="preserve">feedback on the items from service providers, DV experts and members of the SA community served as a point of </w:t>
      </w:r>
      <w:r w:rsidR="00450278">
        <w:t xml:space="preserve">instrument validation.  </w:t>
      </w:r>
    </w:p>
    <w:p w14:paraId="6B511248" w14:textId="229BE94E" w:rsidR="00B41850" w:rsidRDefault="00B41850" w:rsidP="009956CB">
      <w:pPr>
        <w:spacing w:line="480" w:lineRule="auto"/>
        <w:rPr>
          <w:b/>
          <w:bCs/>
        </w:rPr>
      </w:pPr>
      <w:r w:rsidRPr="00B41850">
        <w:rPr>
          <w:b/>
          <w:bCs/>
        </w:rPr>
        <w:t>Study Procedures</w:t>
      </w:r>
      <w:r w:rsidR="00B12A9E">
        <w:rPr>
          <w:b/>
          <w:bCs/>
        </w:rPr>
        <w:t xml:space="preserve"> and Design</w:t>
      </w:r>
      <w:r w:rsidR="003331BF">
        <w:rPr>
          <w:b/>
          <w:bCs/>
        </w:rPr>
        <w:t xml:space="preserve"> of the Main Study </w:t>
      </w:r>
    </w:p>
    <w:p w14:paraId="0420A9A5" w14:textId="61F4231E" w:rsidR="00B41850" w:rsidRDefault="00B41850" w:rsidP="009956CB">
      <w:pPr>
        <w:spacing w:line="480" w:lineRule="auto"/>
      </w:pPr>
      <w:r>
        <w:tab/>
        <w:t xml:space="preserve">The </w:t>
      </w:r>
      <w:r w:rsidR="003331BF">
        <w:t xml:space="preserve">main study </w:t>
      </w:r>
      <w:r>
        <w:t>survey was available in English and Hindi</w:t>
      </w:r>
      <w:r w:rsidR="00C01302">
        <w:t xml:space="preserve"> </w:t>
      </w:r>
      <w:r w:rsidR="00C01302" w:rsidRPr="00C01302">
        <w:rPr>
          <w:highlight w:val="yellow"/>
        </w:rPr>
        <w:t xml:space="preserve">(a common </w:t>
      </w:r>
      <w:r w:rsidR="00E05D8D">
        <w:rPr>
          <w:highlight w:val="yellow"/>
        </w:rPr>
        <w:t>SA</w:t>
      </w:r>
      <w:r w:rsidR="00C01302" w:rsidRPr="00C01302">
        <w:rPr>
          <w:highlight w:val="yellow"/>
        </w:rPr>
        <w:t xml:space="preserve"> language)</w:t>
      </w:r>
      <w:r>
        <w:t>, however, none of the participants took the survey in Hindi</w:t>
      </w:r>
      <w:r w:rsidR="00C01302">
        <w:t>.</w:t>
      </w:r>
      <w:r w:rsidR="00452F39">
        <w:t xml:space="preserve"> </w:t>
      </w:r>
      <w:r w:rsidR="00452F39" w:rsidRPr="00B808B0">
        <w:rPr>
          <w:highlight w:val="yellow"/>
        </w:rPr>
        <w:t>SMILE was translated into Hindi utilizing back translation meth</w:t>
      </w:r>
      <w:r w:rsidR="00B808B0" w:rsidRPr="00B808B0">
        <w:rPr>
          <w:highlight w:val="yellow"/>
        </w:rPr>
        <w:t>ods by the first author and compared for congruence with a bili</w:t>
      </w:r>
      <w:r w:rsidR="00B808B0">
        <w:rPr>
          <w:highlight w:val="yellow"/>
        </w:rPr>
        <w:t>n</w:t>
      </w:r>
      <w:r w:rsidR="00B808B0" w:rsidRPr="00B808B0">
        <w:rPr>
          <w:highlight w:val="yellow"/>
        </w:rPr>
        <w:t xml:space="preserve">gual language expert. </w:t>
      </w:r>
      <w:r w:rsidR="00526F1E">
        <w:rPr>
          <w:highlight w:val="yellow"/>
        </w:rPr>
        <w:t xml:space="preserve">Further, most DV experts from whom feedback was sought were SA </w:t>
      </w:r>
      <w:r w:rsidR="00D41F36">
        <w:rPr>
          <w:highlight w:val="yellow"/>
        </w:rPr>
        <w:t>and</w:t>
      </w:r>
      <w:r w:rsidR="00526F1E">
        <w:rPr>
          <w:highlight w:val="yellow"/>
        </w:rPr>
        <w:t xml:space="preserve"> provide</w:t>
      </w:r>
      <w:r w:rsidR="00D41F36">
        <w:rPr>
          <w:highlight w:val="yellow"/>
        </w:rPr>
        <w:t>d</w:t>
      </w:r>
      <w:r w:rsidR="00526F1E">
        <w:rPr>
          <w:highlight w:val="yellow"/>
        </w:rPr>
        <w:t xml:space="preserve"> language-related feedback. </w:t>
      </w:r>
      <w:r w:rsidR="00B808B0" w:rsidRPr="00B808B0">
        <w:rPr>
          <w:highlight w:val="yellow"/>
        </w:rPr>
        <w:t xml:space="preserve">This process allowed </w:t>
      </w:r>
      <w:r w:rsidR="00B808B0">
        <w:rPr>
          <w:highlight w:val="yellow"/>
        </w:rPr>
        <w:t>for</w:t>
      </w:r>
      <w:r w:rsidR="00B808B0" w:rsidRPr="00B808B0">
        <w:rPr>
          <w:highlight w:val="yellow"/>
        </w:rPr>
        <w:t xml:space="preserve"> </w:t>
      </w:r>
      <w:r w:rsidR="002B239E">
        <w:rPr>
          <w:highlight w:val="yellow"/>
        </w:rPr>
        <w:t xml:space="preserve">the </w:t>
      </w:r>
      <w:r w:rsidR="00B808B0" w:rsidRPr="00B808B0">
        <w:rPr>
          <w:highlight w:val="yellow"/>
        </w:rPr>
        <w:t>linguistic equivalence to ensure that questions and the language used in the questions made sense across languages (</w:t>
      </w:r>
      <w:proofErr w:type="spellStart"/>
      <w:r w:rsidR="00B808B0" w:rsidRPr="00B808B0">
        <w:rPr>
          <w:highlight w:val="yellow"/>
        </w:rPr>
        <w:t>Kamla</w:t>
      </w:r>
      <w:proofErr w:type="spellEnd"/>
      <w:r w:rsidR="00B808B0" w:rsidRPr="00B808B0">
        <w:rPr>
          <w:highlight w:val="yellow"/>
        </w:rPr>
        <w:t xml:space="preserve"> </w:t>
      </w:r>
      <w:r w:rsidR="00351106">
        <w:rPr>
          <w:highlight w:val="yellow"/>
        </w:rPr>
        <w:t>and</w:t>
      </w:r>
      <w:r w:rsidR="00B808B0" w:rsidRPr="00B808B0">
        <w:rPr>
          <w:highlight w:val="yellow"/>
        </w:rPr>
        <w:t xml:space="preserve"> Komori, 2018).</w:t>
      </w:r>
      <w:r w:rsidR="00B808B0">
        <w:t xml:space="preserve"> </w:t>
      </w:r>
      <w:r w:rsidR="00B808B0" w:rsidRPr="00B808B0">
        <w:rPr>
          <w:highlight w:val="yellow"/>
        </w:rPr>
        <w:t xml:space="preserve">Since no specific idioms or phrases reflecting the culture or community were utilized, translation of idioms was not needed, which is often </w:t>
      </w:r>
      <w:r w:rsidR="006470AC">
        <w:rPr>
          <w:highlight w:val="yellow"/>
        </w:rPr>
        <w:t xml:space="preserve">an </w:t>
      </w:r>
      <w:r w:rsidR="00B808B0" w:rsidRPr="00B808B0">
        <w:rPr>
          <w:highlight w:val="yellow"/>
        </w:rPr>
        <w:t>area in which the lack of linguistic equivalence can be problematic (</w:t>
      </w:r>
      <w:proofErr w:type="spellStart"/>
      <w:r w:rsidR="00B808B0" w:rsidRPr="00B808B0">
        <w:rPr>
          <w:color w:val="222222"/>
          <w:highlight w:val="yellow"/>
          <w:shd w:val="clear" w:color="auto" w:fill="FFFFFF"/>
        </w:rPr>
        <w:t>Dobrovol’skij</w:t>
      </w:r>
      <w:proofErr w:type="spellEnd"/>
      <w:r w:rsidR="00B808B0" w:rsidRPr="00B808B0">
        <w:rPr>
          <w:color w:val="222222"/>
          <w:highlight w:val="yellow"/>
          <w:shd w:val="clear" w:color="auto" w:fill="FFFFFF"/>
        </w:rPr>
        <w:t>, 2011).</w:t>
      </w:r>
      <w:r w:rsidR="00B808B0">
        <w:rPr>
          <w:rFonts w:ascii="Arial" w:hAnsi="Arial" w:cs="Arial"/>
          <w:color w:val="222222"/>
          <w:sz w:val="20"/>
          <w:szCs w:val="20"/>
          <w:shd w:val="clear" w:color="auto" w:fill="FFFFFF"/>
        </w:rPr>
        <w:t xml:space="preserve"> </w:t>
      </w:r>
      <w:r w:rsidR="00C01302">
        <w:t xml:space="preserve"> </w:t>
      </w:r>
      <w:r w:rsidR="002C05FC">
        <w:t>Institutional Review Board</w:t>
      </w:r>
      <w:r>
        <w:t xml:space="preserve"> approval from a Southern University was attained prior to beginning the study. To be eligible </w:t>
      </w:r>
      <w:r w:rsidR="00FB59B1">
        <w:t>for</w:t>
      </w:r>
      <w:r>
        <w:t xml:space="preserve"> the study, participants had to be of South Asian origin, 18 or older</w:t>
      </w:r>
      <w:r w:rsidR="009F076B">
        <w:t>, and</w:t>
      </w:r>
      <w:r>
        <w:t xml:space="preserve"> residing in the U.S. at the time of conducting the study. Three sampling </w:t>
      </w:r>
      <w:r w:rsidR="00B12A9E">
        <w:t>techniques</w:t>
      </w:r>
      <w:r>
        <w:t xml:space="preserve"> were </w:t>
      </w:r>
      <w:r w:rsidR="009F076B">
        <w:t xml:space="preserve">employed </w:t>
      </w:r>
      <w:r>
        <w:t>for recruitment: convenience sampling (t</w:t>
      </w:r>
      <w:r w:rsidR="00B12A9E">
        <w:t xml:space="preserve">o </w:t>
      </w:r>
      <w:r>
        <w:t>share the survey with individuals known to the first author through social media, posting information in culturally specific</w:t>
      </w:r>
      <w:r w:rsidR="00B12A9E">
        <w:t xml:space="preserve"> beauty salons, grocery stores</w:t>
      </w:r>
      <w:r w:rsidR="0074104F">
        <w:t>,</w:t>
      </w:r>
      <w:r w:rsidR="00B12A9E">
        <w:t xml:space="preserve"> etc.), snowball sampling (to request participants to circulate the survey in their network) and through the use of Qualtrics research panels to ensure</w:t>
      </w:r>
      <w:r w:rsidR="00FB59B1">
        <w:t xml:space="preserve"> </w:t>
      </w:r>
      <w:r w:rsidR="00B12A9E">
        <w:t xml:space="preserve">diversity in the sample. </w:t>
      </w:r>
      <w:r w:rsidR="00B12A9E" w:rsidDel="003331BF">
        <w:t xml:space="preserve">The first author </w:t>
      </w:r>
      <w:r w:rsidR="00962394">
        <w:t xml:space="preserve">who </w:t>
      </w:r>
      <w:r w:rsidR="00B12A9E" w:rsidDel="003331BF">
        <w:t xml:space="preserve">is of Indian origin was able to recruit participants in her networks utilizing the first two recruitment methods. </w:t>
      </w:r>
      <w:r w:rsidR="00FB59B1" w:rsidDel="003331BF">
        <w:t xml:space="preserve">Hence, the Qualtrics research panels facilitated the inclusion of participants who were from other </w:t>
      </w:r>
      <w:r w:rsidR="00E95040">
        <w:t>SA</w:t>
      </w:r>
      <w:r w:rsidR="00FB59B1" w:rsidDel="003331BF">
        <w:t xml:space="preserve"> groups. </w:t>
      </w:r>
      <w:r w:rsidR="00B12A9E">
        <w:t xml:space="preserve">All participants received a $5 Amazon gift card for participation. Those recruited via Qualtrics research panels, were compensated directly through </w:t>
      </w:r>
      <w:r w:rsidR="00B12A9E">
        <w:lastRenderedPageBreak/>
        <w:t>Qualtrics using a points-based system</w:t>
      </w:r>
      <w:r w:rsidR="00C27C10">
        <w:t xml:space="preserve">. </w:t>
      </w:r>
      <w:r w:rsidR="00B12A9E" w:rsidDel="003331BF">
        <w:t xml:space="preserve">No </w:t>
      </w:r>
      <w:r w:rsidR="00FB59B1" w:rsidDel="003331BF">
        <w:t xml:space="preserve">statistically </w:t>
      </w:r>
      <w:r w:rsidR="00B12A9E" w:rsidDel="003331BF">
        <w:t xml:space="preserve">significant differences </w:t>
      </w:r>
      <w:proofErr w:type="gramStart"/>
      <w:r w:rsidR="00B12A9E" w:rsidDel="003331BF">
        <w:t>w</w:t>
      </w:r>
      <w:r w:rsidR="002B239E">
        <w:t>as</w:t>
      </w:r>
      <w:proofErr w:type="gramEnd"/>
      <w:r w:rsidR="002B239E">
        <w:t xml:space="preserve"> </w:t>
      </w:r>
      <w:r w:rsidR="00B12A9E" w:rsidDel="003331BF">
        <w:t xml:space="preserve">found between participants recruited via the research panels or through other efforts. Hence, the data were merged and analyzed. All demographic questions were measured by utilizing questions created by the research team. </w:t>
      </w:r>
    </w:p>
    <w:p w14:paraId="22DADC06" w14:textId="6ED2EADB" w:rsidR="00B12A9E" w:rsidRPr="00B41850" w:rsidRDefault="00B12A9E" w:rsidP="009956CB">
      <w:pPr>
        <w:spacing w:line="480" w:lineRule="auto"/>
      </w:pPr>
      <w:r>
        <w:tab/>
      </w:r>
      <w:r w:rsidR="003331BF">
        <w:t>In the present study, w</w:t>
      </w:r>
      <w:r>
        <w:t xml:space="preserve">e report </w:t>
      </w:r>
      <w:r w:rsidR="00962394">
        <w:t xml:space="preserve">the </w:t>
      </w:r>
      <w:r>
        <w:t xml:space="preserve">frequencies </w:t>
      </w:r>
      <w:r w:rsidR="00962394">
        <w:t xml:space="preserve">of </w:t>
      </w:r>
      <w:r>
        <w:t>the four items of the SMILE</w:t>
      </w:r>
      <w:r w:rsidR="00C27C10">
        <w:t xml:space="preserve">, </w:t>
      </w:r>
      <w:r w:rsidR="007C75C3">
        <w:t>in</w:t>
      </w:r>
      <w:r>
        <w:t xml:space="preserve">cluding separate </w:t>
      </w:r>
      <w:r w:rsidR="007C75C3">
        <w:t>frequencies</w:t>
      </w:r>
      <w:r>
        <w:t xml:space="preserve"> for mal</w:t>
      </w:r>
      <w:r w:rsidR="007C75C3">
        <w:t>e</w:t>
      </w:r>
      <w:r>
        <w:t xml:space="preserve"> and female participants</w:t>
      </w:r>
      <w:r w:rsidR="00FA3580">
        <w:t>.</w:t>
      </w:r>
      <w:r w:rsidR="00C04A4E">
        <w:t xml:space="preserve"> Further, we report</w:t>
      </w:r>
      <w:r w:rsidR="00294173">
        <w:t xml:space="preserve"> the</w:t>
      </w:r>
      <w:r w:rsidR="00C04A4E">
        <w:t xml:space="preserve"> </w:t>
      </w:r>
      <w:r w:rsidR="00BE5CC3">
        <w:t xml:space="preserve">principal </w:t>
      </w:r>
      <w:r w:rsidR="00E7337F">
        <w:t>component analysis (PCA)</w:t>
      </w:r>
      <w:r w:rsidR="00C04A4E">
        <w:t xml:space="preserve"> results for the overall sample as well as for men and women separately. </w:t>
      </w:r>
      <w:r w:rsidR="00E7337F">
        <w:t xml:space="preserve">PCA </w:t>
      </w:r>
      <w:r w:rsidR="00FA3580">
        <w:t xml:space="preserve">with </w:t>
      </w:r>
      <w:r w:rsidR="00E7337F">
        <w:t xml:space="preserve">varimax rotation was used to examine the factor loadings and the structure of the </w:t>
      </w:r>
      <w:r w:rsidR="00C27C10">
        <w:t>scale</w:t>
      </w:r>
      <w:r w:rsidR="00E7337F">
        <w:t xml:space="preserve"> (Naik, 2018).</w:t>
      </w:r>
      <w:r w:rsidR="0080469B">
        <w:t xml:space="preserve"> </w:t>
      </w:r>
      <w:r w:rsidR="00294173">
        <w:t>However, s</w:t>
      </w:r>
      <w:r w:rsidR="00FB59B1">
        <w:t xml:space="preserve">ince </w:t>
      </w:r>
      <w:r w:rsidR="00294173">
        <w:t>the results yielded a single factor, no rotation could be applied.</w:t>
      </w:r>
      <w:r w:rsidR="000419D5">
        <w:t xml:space="preserve"> PCA was selected since the goal of this study was to confirm the factor structure and test the new scale (Child, 1990). </w:t>
      </w:r>
      <w:r w:rsidR="00E95040">
        <w:t>Overall reliability using</w:t>
      </w:r>
      <w:r w:rsidR="00294173">
        <w:t xml:space="preserve"> Cronbach’s alpha</w:t>
      </w:r>
      <w:r w:rsidR="00B97A67">
        <w:t xml:space="preserve"> to demonstrate internal consistency</w:t>
      </w:r>
      <w:r w:rsidR="00294173">
        <w:t xml:space="preserve"> is reported. Split-half reliability </w:t>
      </w:r>
      <w:r w:rsidR="006607B9">
        <w:t xml:space="preserve">(i.e., </w:t>
      </w:r>
      <w:r w:rsidR="00294173">
        <w:t>splitting the sample using gender</w:t>
      </w:r>
      <w:r w:rsidR="00D33790" w:rsidRPr="00D33790">
        <w:t>)</w:t>
      </w:r>
      <w:r w:rsidR="00294173">
        <w:t xml:space="preserve"> is also reported (Trochim </w:t>
      </w:r>
      <w:r w:rsidR="00351106">
        <w:t>and</w:t>
      </w:r>
      <w:r w:rsidR="00294173">
        <w:t xml:space="preserve"> Donnelly, 2008). </w:t>
      </w:r>
      <w:r w:rsidR="00B81B4C" w:rsidRPr="00AB1632">
        <w:rPr>
          <w:highlight w:val="yellow"/>
        </w:rPr>
        <w:t xml:space="preserve">We also noted the </w:t>
      </w:r>
      <w:r w:rsidR="00DB4601">
        <w:rPr>
          <w:highlight w:val="yellow"/>
        </w:rPr>
        <w:t>relationship</w:t>
      </w:r>
      <w:r w:rsidR="00B81B4C" w:rsidRPr="00AB1632">
        <w:rPr>
          <w:highlight w:val="yellow"/>
        </w:rPr>
        <w:t xml:space="preserve"> between a gender-role attitudes measure (Attitude Toward </w:t>
      </w:r>
      <w:r w:rsidR="00291F29">
        <w:rPr>
          <w:highlight w:val="yellow"/>
        </w:rPr>
        <w:t>W</w:t>
      </w:r>
      <w:r w:rsidR="00B81B4C" w:rsidRPr="00AB1632">
        <w:rPr>
          <w:highlight w:val="yellow"/>
        </w:rPr>
        <w:t xml:space="preserve">omen measure [Spence </w:t>
      </w:r>
      <w:r w:rsidR="00351106">
        <w:rPr>
          <w:highlight w:val="yellow"/>
        </w:rPr>
        <w:t>and</w:t>
      </w:r>
      <w:r w:rsidR="00B81B4C" w:rsidRPr="00AB1632">
        <w:rPr>
          <w:highlight w:val="yellow"/>
        </w:rPr>
        <w:t xml:space="preserve"> </w:t>
      </w:r>
      <w:proofErr w:type="spellStart"/>
      <w:r w:rsidR="00B81B4C" w:rsidRPr="00AB1632">
        <w:rPr>
          <w:highlight w:val="yellow"/>
        </w:rPr>
        <w:t>Helmreich</w:t>
      </w:r>
      <w:proofErr w:type="spellEnd"/>
      <w:r w:rsidR="00B81B4C" w:rsidRPr="00AB1632">
        <w:rPr>
          <w:highlight w:val="yellow"/>
        </w:rPr>
        <w:t xml:space="preserve">, 1978]) and the items of SMILE by comparing mean scores. The ATW measure will be not expanded upon since it was not part of this study. Since data on both gender-role attitudes and SMILE was collected at the same time, predictive validity in the true sense of the definition about predicting a future event cannot be upheld (Engel </w:t>
      </w:r>
      <w:r w:rsidR="00351106">
        <w:rPr>
          <w:highlight w:val="yellow"/>
        </w:rPr>
        <w:t>and</w:t>
      </w:r>
      <w:r w:rsidR="00B81B4C" w:rsidRPr="00AB1632">
        <w:rPr>
          <w:highlight w:val="yellow"/>
        </w:rPr>
        <w:t xml:space="preserve"> Schutt, 2013)</w:t>
      </w:r>
      <w:r w:rsidR="00AB1632" w:rsidRPr="00AB1632">
        <w:rPr>
          <w:highlight w:val="yellow"/>
        </w:rPr>
        <w:t>, however still indicative of the relationship between these two constructs.</w:t>
      </w:r>
      <w:r w:rsidR="00B81B4C" w:rsidRPr="00AB1632">
        <w:rPr>
          <w:highlight w:val="yellow"/>
        </w:rPr>
        <w:t xml:space="preserve"> Correlation between mean scores was statistically significant (</w:t>
      </w:r>
      <w:r w:rsidR="00B81B4C" w:rsidRPr="0046170F">
        <w:rPr>
          <w:highlight w:val="yellow"/>
        </w:rPr>
        <w:t>r=</w:t>
      </w:r>
      <w:r w:rsidR="000A349E" w:rsidRPr="0046170F">
        <w:rPr>
          <w:highlight w:val="yellow"/>
        </w:rPr>
        <w:t>0.37, p&lt;0.01)</w:t>
      </w:r>
    </w:p>
    <w:p w14:paraId="0CD0FE35" w14:textId="77777777" w:rsidR="00FF1516" w:rsidRDefault="00FF1516" w:rsidP="00FF1516">
      <w:pPr>
        <w:spacing w:line="480" w:lineRule="auto"/>
        <w:jc w:val="center"/>
        <w:rPr>
          <w:b/>
          <w:bCs/>
        </w:rPr>
      </w:pPr>
    </w:p>
    <w:p w14:paraId="5E16EB31" w14:textId="77777777" w:rsidR="00FF1516" w:rsidRDefault="00FF1516" w:rsidP="00FF1516">
      <w:pPr>
        <w:spacing w:line="480" w:lineRule="auto"/>
        <w:jc w:val="center"/>
        <w:rPr>
          <w:b/>
          <w:bCs/>
        </w:rPr>
      </w:pPr>
    </w:p>
    <w:p w14:paraId="14AE4DAE" w14:textId="77777777" w:rsidR="00FF1516" w:rsidRDefault="00FF1516" w:rsidP="00FF1516">
      <w:pPr>
        <w:spacing w:line="480" w:lineRule="auto"/>
        <w:jc w:val="center"/>
        <w:rPr>
          <w:b/>
          <w:bCs/>
        </w:rPr>
      </w:pPr>
    </w:p>
    <w:p w14:paraId="076B87FC" w14:textId="3049A792" w:rsidR="00B41850" w:rsidRDefault="00D71FFE" w:rsidP="00FF1516">
      <w:pPr>
        <w:spacing w:line="480" w:lineRule="auto"/>
        <w:jc w:val="center"/>
        <w:rPr>
          <w:b/>
          <w:bCs/>
        </w:rPr>
      </w:pPr>
      <w:r w:rsidRPr="00D71FFE">
        <w:rPr>
          <w:b/>
          <w:bCs/>
        </w:rPr>
        <w:lastRenderedPageBreak/>
        <w:t>Brief Findings</w:t>
      </w:r>
    </w:p>
    <w:p w14:paraId="6969EEBF" w14:textId="12290A7B" w:rsidR="00B41850" w:rsidRDefault="00D33790" w:rsidP="009956CB">
      <w:pPr>
        <w:spacing w:line="480" w:lineRule="auto"/>
        <w:rPr>
          <w:b/>
          <w:bCs/>
        </w:rPr>
      </w:pPr>
      <w:r w:rsidRPr="00D33790">
        <w:rPr>
          <w:b/>
          <w:bCs/>
        </w:rPr>
        <w:t xml:space="preserve">Sample Description </w:t>
      </w:r>
    </w:p>
    <w:p w14:paraId="2A0F3EAA" w14:textId="1FBDB360" w:rsidR="00D71FFE" w:rsidRDefault="00F67C96" w:rsidP="009956CB">
      <w:pPr>
        <w:spacing w:line="480" w:lineRule="auto"/>
      </w:pPr>
      <w:r>
        <w:tab/>
        <w:t xml:space="preserve">The sample size for the larger study was N=468 </w:t>
      </w:r>
      <w:r w:rsidR="00E05D8D">
        <w:t>SA</w:t>
      </w:r>
      <w:r>
        <w:t xml:space="preserve"> men and women across all 50 States in the U.S. </w:t>
      </w:r>
      <w:r w:rsidR="00C36C96">
        <w:t xml:space="preserve">A total of </w:t>
      </w:r>
      <w:r>
        <w:t xml:space="preserve">44% of the participants were male and 56% were female. </w:t>
      </w:r>
      <w:r w:rsidR="00761A2F">
        <w:t>Over a third (</w:t>
      </w:r>
      <w:r w:rsidR="00B41850">
        <w:t>38.5%</w:t>
      </w:r>
      <w:r w:rsidR="00D33790" w:rsidRPr="00D33790">
        <w:t>)</w:t>
      </w:r>
      <w:r w:rsidR="00B41850">
        <w:t xml:space="preserve"> of the participants were between the ages of 18-35 and 48.1% were 36 and older. </w:t>
      </w:r>
      <w:r w:rsidR="0009140B">
        <w:t xml:space="preserve">Approximately </w:t>
      </w:r>
      <w:r w:rsidR="00B41850">
        <w:t>70% of the participants were 1</w:t>
      </w:r>
      <w:r w:rsidR="00B41850" w:rsidRPr="00B41850">
        <w:rPr>
          <w:vertAlign w:val="superscript"/>
        </w:rPr>
        <w:t>st</w:t>
      </w:r>
      <w:r w:rsidR="00B41850">
        <w:t xml:space="preserve"> generation and 29.8% were 1.5+ or higher. 1</w:t>
      </w:r>
      <w:r w:rsidR="00B41850" w:rsidRPr="00B41850">
        <w:rPr>
          <w:vertAlign w:val="superscript"/>
        </w:rPr>
        <w:t>st</w:t>
      </w:r>
      <w:r w:rsidR="00B41850">
        <w:t xml:space="preserve"> generation refers to individuals who came to the U.S. at or beyond age 13, while 1.5 or higher generation refers to those who were either born in the U.S. or moved here prior to</w:t>
      </w:r>
      <w:r w:rsidR="008A0A05">
        <w:t xml:space="preserve"> the</w:t>
      </w:r>
      <w:r w:rsidR="00B41850">
        <w:t xml:space="preserve"> age of 13. </w:t>
      </w:r>
      <w:r>
        <w:t>The highest proportion of participants were from India (70.2%), followed by Pakistan (1</w:t>
      </w:r>
      <w:r w:rsidR="007F00EE">
        <w:t>1</w:t>
      </w:r>
      <w:r>
        <w:t>.7%), Bangladesh (6.3%), Nepal (5.2</w:t>
      </w:r>
      <w:r w:rsidR="0057668B">
        <w:t>%</w:t>
      </w:r>
      <w:r>
        <w:t xml:space="preserve">) and the remaining (6.6%) belonged to other </w:t>
      </w:r>
      <w:r w:rsidR="00E05D8D">
        <w:t>SA</w:t>
      </w:r>
      <w:r>
        <w:t xml:space="preserve"> countries such as, Sri Lanka, </w:t>
      </w:r>
      <w:r w:rsidR="004C2A95">
        <w:t>Bhutan</w:t>
      </w:r>
      <w:r w:rsidR="0057668B">
        <w:t>,</w:t>
      </w:r>
      <w:r w:rsidR="004C2A95">
        <w:t xml:space="preserve"> and Maldives. </w:t>
      </w:r>
      <w:r w:rsidR="00EF2591">
        <w:t>This</w:t>
      </w:r>
      <w:r w:rsidR="00B41850">
        <w:t xml:space="preserve"> distribution corresponds to the overall distribution of 5.4 million </w:t>
      </w:r>
      <w:r w:rsidR="00E05D8D">
        <w:t>SAs</w:t>
      </w:r>
      <w:r w:rsidR="00B41850">
        <w:t xml:space="preserve"> in the U.S. (Pew Research Center, 2019). </w:t>
      </w:r>
    </w:p>
    <w:p w14:paraId="2D939398" w14:textId="6E8AACDC" w:rsidR="00B41850" w:rsidRDefault="00D33790" w:rsidP="009956CB">
      <w:pPr>
        <w:spacing w:line="480" w:lineRule="auto"/>
        <w:rPr>
          <w:b/>
          <w:bCs/>
        </w:rPr>
      </w:pPr>
      <w:r w:rsidRPr="00D33790">
        <w:rPr>
          <w:b/>
          <w:bCs/>
        </w:rPr>
        <w:t xml:space="preserve">Findings of the SMILE Scale </w:t>
      </w:r>
    </w:p>
    <w:p w14:paraId="41972743" w14:textId="6DF41415" w:rsidR="00C04A4E" w:rsidRDefault="00C04A4E" w:rsidP="009956CB">
      <w:pPr>
        <w:spacing w:line="480" w:lineRule="auto"/>
      </w:pPr>
      <w:r>
        <w:rPr>
          <w:b/>
          <w:bCs/>
        </w:rPr>
        <w:tab/>
      </w:r>
      <w:r w:rsidR="00412593">
        <w:t xml:space="preserve">Given that a Likert-type scale was used to collect the perceptions of </w:t>
      </w:r>
      <w:proofErr w:type="gramStart"/>
      <w:r w:rsidR="00412593">
        <w:t>in-laws</w:t>
      </w:r>
      <w:proofErr w:type="gramEnd"/>
      <w:r w:rsidR="00412593">
        <w:t xml:space="preserve"> abuse, the frequencies</w:t>
      </w:r>
      <w:r w:rsidR="00DE0E4E">
        <w:t xml:space="preserve"> </w:t>
      </w:r>
      <w:r w:rsidR="00412593">
        <w:t>for participant responses about perceptions of in-laws abuse ranging from 1-3 (strongly agree, agree, somewhat agree) were included</w:t>
      </w:r>
      <w:r w:rsidR="00CE4AE8">
        <w:t xml:space="preserve"> (see Table 1)</w:t>
      </w:r>
      <w:r w:rsidR="00412593">
        <w:t xml:space="preserve">. </w:t>
      </w:r>
      <w:r>
        <w:t xml:space="preserve">For the overall sample, the highest frequencies were </w:t>
      </w:r>
      <w:r w:rsidR="00075A42">
        <w:t>for</w:t>
      </w:r>
      <w:r>
        <w:t>, “physical harm by in-laws”</w:t>
      </w:r>
      <w:r w:rsidR="00DE0E4E">
        <w:t xml:space="preserve"> (men=</w:t>
      </w:r>
      <w:r w:rsidR="00687A32">
        <w:t>64%,</w:t>
      </w:r>
      <w:r w:rsidR="00DE0E4E">
        <w:t xml:space="preserve"> women=</w:t>
      </w:r>
      <w:r w:rsidR="00687A32">
        <w:t>75%)</w:t>
      </w:r>
      <w:r w:rsidR="00DE0E4E">
        <w:t xml:space="preserve"> and “demeaning tone used by in-laws” (men=59%, women=72%).</w:t>
      </w:r>
      <w:r w:rsidR="00687A32">
        <w:t xml:space="preserve"> </w:t>
      </w:r>
      <w:r w:rsidR="00DE0E4E">
        <w:t xml:space="preserve">The item with the third highest frequency among participants was, “interference over financial matters by in-laws” </w:t>
      </w:r>
      <w:r w:rsidR="007C1FDB">
        <w:t xml:space="preserve">which </w:t>
      </w:r>
      <w:r w:rsidR="00DE0E4E">
        <w:t>was perceived as DV by 56%</w:t>
      </w:r>
      <w:r w:rsidR="00E714FE">
        <w:t xml:space="preserve"> of</w:t>
      </w:r>
      <w:r w:rsidR="00DE0E4E">
        <w:t xml:space="preserve"> men and 63%</w:t>
      </w:r>
      <w:r w:rsidR="00E714FE">
        <w:t xml:space="preserve"> of </w:t>
      </w:r>
      <w:r w:rsidR="00DE0E4E">
        <w:t>women.</w:t>
      </w:r>
      <w:r w:rsidR="00DE0E4E" w:rsidRPr="00DE0E4E">
        <w:t xml:space="preserve"> </w:t>
      </w:r>
      <w:r w:rsidR="00DE0E4E">
        <w:t>“</w:t>
      </w:r>
      <w:r w:rsidR="00E714FE">
        <w:t>I</w:t>
      </w:r>
      <w:r w:rsidR="00DE0E4E">
        <w:t xml:space="preserve">nterference about whereabouts by in-laws” was the least common type of </w:t>
      </w:r>
      <w:proofErr w:type="gramStart"/>
      <w:r w:rsidR="00DE0E4E">
        <w:t>in-laws</w:t>
      </w:r>
      <w:proofErr w:type="gramEnd"/>
      <w:r w:rsidR="00DE0E4E">
        <w:t xml:space="preserve"> abuse interpreted by 55% men and 58% women</w:t>
      </w:r>
      <w:r w:rsidR="007C1FDB">
        <w:t xml:space="preserve">. </w:t>
      </w:r>
      <w:r w:rsidR="00DE0E4E">
        <w:t xml:space="preserve"> </w:t>
      </w:r>
    </w:p>
    <w:p w14:paraId="52AECED8" w14:textId="3C4E5E0D" w:rsidR="00DA7E26" w:rsidRDefault="00DA7E26" w:rsidP="009956CB">
      <w:pPr>
        <w:spacing w:line="480" w:lineRule="auto"/>
      </w:pPr>
      <w:r w:rsidRPr="00DA7E26">
        <w:rPr>
          <w:highlight w:val="yellow"/>
        </w:rPr>
        <w:t xml:space="preserve">In a separate study by Rai </w:t>
      </w:r>
      <w:r w:rsidR="00351106">
        <w:rPr>
          <w:highlight w:val="yellow"/>
        </w:rPr>
        <w:t>and</w:t>
      </w:r>
      <w:r w:rsidRPr="00DA7E26">
        <w:rPr>
          <w:highlight w:val="yellow"/>
        </w:rPr>
        <w:t xml:space="preserve"> Choi (2021); utilizing the same data set, they found a prevalence rate of 19% for men and 21% for women </w:t>
      </w:r>
      <w:proofErr w:type="gramStart"/>
      <w:r w:rsidRPr="00DA7E26">
        <w:rPr>
          <w:highlight w:val="yellow"/>
        </w:rPr>
        <w:t xml:space="preserve">in regards </w:t>
      </w:r>
      <w:r w:rsidR="002B239E">
        <w:rPr>
          <w:highlight w:val="yellow"/>
        </w:rPr>
        <w:t>to</w:t>
      </w:r>
      <w:proofErr w:type="gramEnd"/>
      <w:r w:rsidR="002B239E">
        <w:rPr>
          <w:highlight w:val="yellow"/>
        </w:rPr>
        <w:t xml:space="preserve"> </w:t>
      </w:r>
      <w:r w:rsidRPr="00DA7E26">
        <w:rPr>
          <w:highlight w:val="yellow"/>
        </w:rPr>
        <w:t>in-laws abuse.</w:t>
      </w:r>
      <w:r>
        <w:t xml:space="preserve"> </w:t>
      </w:r>
    </w:p>
    <w:p w14:paraId="2977C357" w14:textId="257AFE67" w:rsidR="00DA7E26" w:rsidDel="00EF2591" w:rsidRDefault="00C04A4E" w:rsidP="009956CB">
      <w:pPr>
        <w:spacing w:line="480" w:lineRule="auto"/>
      </w:pPr>
      <w:r>
        <w:lastRenderedPageBreak/>
        <w:tab/>
        <w:t xml:space="preserve">The results of the </w:t>
      </w:r>
      <w:r w:rsidR="00E7337F">
        <w:t>PCA</w:t>
      </w:r>
      <w:r>
        <w:t xml:space="preserve"> analysis for the overall sample depict</w:t>
      </w:r>
      <w:r w:rsidR="002B239E">
        <w:t>s</w:t>
      </w:r>
      <w:r>
        <w:t xml:space="preserve"> that </w:t>
      </w:r>
      <w:r w:rsidR="007E476E">
        <w:t xml:space="preserve">the four items collectively explained 80.87% of the variance with the factor loadings ranging from 0.83-0.94 (Table 2). Rotation could not be applied for the overall sample as well as separate </w:t>
      </w:r>
      <w:r w:rsidR="00E7337F">
        <w:t>PCA</w:t>
      </w:r>
      <w:r w:rsidR="007E476E">
        <w:t xml:space="preserve"> analysis for male and female participants, since there was a single factor as indicated by the scree plot (</w:t>
      </w:r>
      <w:r w:rsidR="00EF2591">
        <w:t>Appendix A</w:t>
      </w:r>
      <w:r w:rsidR="007E476E">
        <w:t xml:space="preserve">). The </w:t>
      </w:r>
      <w:r w:rsidR="00E7337F">
        <w:t>PCA</w:t>
      </w:r>
      <w:r w:rsidR="007E476E">
        <w:t xml:space="preserve"> results for male participant</w:t>
      </w:r>
      <w:r w:rsidR="002361F7">
        <w:t xml:space="preserve">s, </w:t>
      </w:r>
      <w:r w:rsidR="007E476E">
        <w:t xml:space="preserve">indicated that the four items collectively explained 79.70% of the variance with factor loadings ranging from 0.84-0.93 (Table </w:t>
      </w:r>
      <w:r w:rsidR="00EF2591">
        <w:t>3</w:t>
      </w:r>
      <w:r w:rsidR="007E476E">
        <w:t xml:space="preserve">). The </w:t>
      </w:r>
      <w:r w:rsidR="00E7337F">
        <w:t>PCA</w:t>
      </w:r>
      <w:r w:rsidR="007E476E">
        <w:t xml:space="preserve"> results for female participants</w:t>
      </w:r>
      <w:r w:rsidR="002361F7">
        <w:t xml:space="preserve">, </w:t>
      </w:r>
      <w:r w:rsidR="007E476E">
        <w:t xml:space="preserve">indicated that the four items collectively explained 80.58% of the variance with factor loadings ranging from 0.81-0.94 (Table 4, </w:t>
      </w:r>
      <w:r w:rsidR="00EF2591">
        <w:t>Appendix A</w:t>
      </w:r>
      <w:r w:rsidR="007E476E">
        <w:t xml:space="preserve">). </w:t>
      </w:r>
      <w:r w:rsidR="00614A16">
        <w:t xml:space="preserve">Based on the </w:t>
      </w:r>
      <w:proofErr w:type="spellStart"/>
      <w:r w:rsidR="00614A16">
        <w:t>scree</w:t>
      </w:r>
      <w:proofErr w:type="spellEnd"/>
      <w:r w:rsidR="00614A16">
        <w:t xml:space="preserve"> plot results, there was a single component for the overall PCA as well as the one for men and women separately. </w:t>
      </w:r>
      <w:r w:rsidR="00182678">
        <w:t>Reviewing</w:t>
      </w:r>
      <w:r w:rsidR="00827D0C">
        <w:t>, the rate of slop</w:t>
      </w:r>
      <w:r w:rsidR="004F4B82">
        <w:t>e</w:t>
      </w:r>
      <w:r w:rsidR="00827D0C">
        <w:t xml:space="preserve"> across components 2,3</w:t>
      </w:r>
      <w:r w:rsidR="008D5AF3">
        <w:t>,</w:t>
      </w:r>
      <w:r w:rsidR="00827D0C">
        <w:t xml:space="preserve"> and 4 appeared to be almost similar for male and female participants (figures 2 and 3). For both, the point above the scree only contained a single factor</w:t>
      </w:r>
      <w:r w:rsidR="00182678">
        <w:t xml:space="preserve">, confirming the </w:t>
      </w:r>
      <w:r w:rsidR="00090141">
        <w:t>unitary structure of the scale</w:t>
      </w:r>
      <w:r w:rsidR="00827D0C">
        <w:t xml:space="preserve">. </w:t>
      </w:r>
      <w:r w:rsidR="00614A16">
        <w:t xml:space="preserve">We named this </w:t>
      </w:r>
      <w:r w:rsidR="00827D0C">
        <w:t xml:space="preserve">single </w:t>
      </w:r>
      <w:r w:rsidR="00614A16">
        <w:t>factor, “in-laws abuse.”</w:t>
      </w:r>
      <w:r w:rsidR="00EF2591">
        <w:t xml:space="preserve"> </w:t>
      </w:r>
      <w:r>
        <w:t xml:space="preserve">The reliability of the </w:t>
      </w:r>
      <w:r w:rsidR="00504C73">
        <w:t>SMILE</w:t>
      </w:r>
      <w:r>
        <w:t xml:space="preserve"> </w:t>
      </w:r>
      <w:r w:rsidR="009F16EB">
        <w:t xml:space="preserve">for the overall sample was </w:t>
      </w:r>
      <w:r w:rsidR="000D678D">
        <w:t>0.92. For male participants only, the Cronbach’s alpha was 0.90 and it was 0.91</w:t>
      </w:r>
      <w:r w:rsidR="009F16EB">
        <w:t xml:space="preserve"> </w:t>
      </w:r>
      <w:r>
        <w:t>for</w:t>
      </w:r>
      <w:r w:rsidDel="000D678D">
        <w:t xml:space="preserve"> female participants only</w:t>
      </w:r>
      <w:r w:rsidR="009F16EB">
        <w:t xml:space="preserve">. The </w:t>
      </w:r>
      <w:r w:rsidR="006D4F1D">
        <w:t xml:space="preserve">Cronbach’s alpha values were deemed acceptable as </w:t>
      </w:r>
      <w:r w:rsidR="00D33790" w:rsidRPr="00D33790">
        <w:t xml:space="preserve">they were greater than 0.7 as elucidated by Bland </w:t>
      </w:r>
      <w:r w:rsidR="00FA3580">
        <w:t>and</w:t>
      </w:r>
      <w:r w:rsidR="00FA3580" w:rsidRPr="00D33790">
        <w:t xml:space="preserve"> </w:t>
      </w:r>
      <w:r w:rsidR="00D33790" w:rsidRPr="00D33790">
        <w:t xml:space="preserve">Altman (1997). </w:t>
      </w:r>
    </w:p>
    <w:p w14:paraId="290235BB" w14:textId="577D5E71" w:rsidR="0092578B" w:rsidRDefault="00B41850" w:rsidP="00B41850">
      <w:pPr>
        <w:spacing w:line="480" w:lineRule="auto"/>
        <w:jc w:val="center"/>
        <w:rPr>
          <w:b/>
          <w:bCs/>
        </w:rPr>
      </w:pPr>
      <w:r w:rsidRPr="00CA64BF">
        <w:rPr>
          <w:b/>
          <w:bCs/>
        </w:rPr>
        <w:t>Discussion</w:t>
      </w:r>
      <w:r w:rsidR="009E2A9A" w:rsidRPr="00CA64BF">
        <w:rPr>
          <w:b/>
          <w:bCs/>
        </w:rPr>
        <w:t xml:space="preserve"> </w:t>
      </w:r>
      <w:r w:rsidR="003331BF" w:rsidRPr="00CA64BF">
        <w:rPr>
          <w:b/>
          <w:bCs/>
        </w:rPr>
        <w:t>of Findings</w:t>
      </w:r>
    </w:p>
    <w:p w14:paraId="39864084" w14:textId="79D47BA6" w:rsidR="00613C2D" w:rsidRDefault="00613C2D" w:rsidP="00613C2D">
      <w:pPr>
        <w:spacing w:line="480" w:lineRule="auto"/>
      </w:pPr>
      <w:r>
        <w:tab/>
        <w:t xml:space="preserve">The development and testing of the SMILE has facilitated </w:t>
      </w:r>
      <w:r w:rsidR="00075A42">
        <w:t xml:space="preserve">the </w:t>
      </w:r>
      <w:r>
        <w:t>understanding</w:t>
      </w:r>
      <w:r w:rsidR="00075A42">
        <w:t xml:space="preserve"> of</w:t>
      </w:r>
      <w:r>
        <w:t xml:space="preserve"> a distinct </w:t>
      </w:r>
      <w:r w:rsidR="007C1FDB">
        <w:t>type</w:t>
      </w:r>
      <w:r>
        <w:t xml:space="preserve"> of abuse, namely in-laws abuse among </w:t>
      </w:r>
      <w:r w:rsidR="00E05D8D">
        <w:t>SA</w:t>
      </w:r>
      <w:r w:rsidR="00875C14">
        <w:t xml:space="preserve"> </w:t>
      </w:r>
      <w:r>
        <w:t>immigrants</w:t>
      </w:r>
      <w:r w:rsidR="007C1FDB">
        <w:t>. This form of abuse can be</w:t>
      </w:r>
      <w:r w:rsidR="00E406C6">
        <w:t xml:space="preserve"> characterized </w:t>
      </w:r>
      <w:r w:rsidR="007C1FDB">
        <w:t>as a tactic of</w:t>
      </w:r>
      <w:r w:rsidR="00E406C6">
        <w:t xml:space="preserve"> coercive control</w:t>
      </w:r>
      <w:r w:rsidR="00201EB6">
        <w:t xml:space="preserve"> (Stark, 2007)</w:t>
      </w:r>
      <w:r w:rsidR="00E406C6">
        <w:t xml:space="preserve"> exerted by in-laws</w:t>
      </w:r>
      <w:r>
        <w:t xml:space="preserve">. This </w:t>
      </w:r>
      <w:r w:rsidR="007C1FDB">
        <w:t>nature</w:t>
      </w:r>
      <w:r>
        <w:t xml:space="preserve"> of abuse is not included within the “Western” definition of </w:t>
      </w:r>
      <w:r w:rsidR="00875C14">
        <w:t>DV</w:t>
      </w:r>
      <w:r>
        <w:t xml:space="preserve"> (Black et al., 2011). To our knowledge, currently this is the only instrument that measures</w:t>
      </w:r>
      <w:r w:rsidR="00875C14">
        <w:t xml:space="preserve"> the perceptions of </w:t>
      </w:r>
      <w:proofErr w:type="gramStart"/>
      <w:r>
        <w:t>in-laws</w:t>
      </w:r>
      <w:proofErr w:type="gramEnd"/>
      <w:r>
        <w:t xml:space="preserve"> abuse among </w:t>
      </w:r>
      <w:r w:rsidR="00E05D8D">
        <w:t>SAs</w:t>
      </w:r>
      <w:r>
        <w:t xml:space="preserve"> as well as other immigrant communities </w:t>
      </w:r>
      <w:r w:rsidRPr="005C13BD">
        <w:rPr>
          <w:highlight w:val="yellow"/>
        </w:rPr>
        <w:t>(</w:t>
      </w:r>
      <w:r w:rsidR="005C13BD" w:rsidRPr="005C13BD">
        <w:rPr>
          <w:highlight w:val="yellow"/>
        </w:rPr>
        <w:t xml:space="preserve">Rai, 2020a; Rai </w:t>
      </w:r>
      <w:r w:rsidR="00351106">
        <w:rPr>
          <w:highlight w:val="yellow"/>
        </w:rPr>
        <w:t>and</w:t>
      </w:r>
      <w:r w:rsidR="005C13BD" w:rsidRPr="005C13BD">
        <w:rPr>
          <w:highlight w:val="yellow"/>
        </w:rPr>
        <w:t xml:space="preserve"> Choi, 2021</w:t>
      </w:r>
      <w:r w:rsidRPr="005C13BD">
        <w:rPr>
          <w:highlight w:val="yellow"/>
        </w:rPr>
        <w:t>).</w:t>
      </w:r>
      <w:r>
        <w:t xml:space="preserve"> Prior to </w:t>
      </w:r>
      <w:r>
        <w:lastRenderedPageBreak/>
        <w:t xml:space="preserve">delving into the implications of our work, we will highlight some of our </w:t>
      </w:r>
      <w:r w:rsidR="00870B53">
        <w:t>main</w:t>
      </w:r>
      <w:r>
        <w:t xml:space="preserve"> findings</w:t>
      </w:r>
      <w:r w:rsidR="00870B53">
        <w:t xml:space="preserve"> and note the strengths of the study</w:t>
      </w:r>
      <w:r>
        <w:t xml:space="preserve">. </w:t>
      </w:r>
    </w:p>
    <w:p w14:paraId="1D0F3229" w14:textId="54DDF886" w:rsidR="00870B53" w:rsidRDefault="00870B53" w:rsidP="00D33790">
      <w:pPr>
        <w:spacing w:line="480" w:lineRule="auto"/>
      </w:pPr>
      <w:r>
        <w:tab/>
        <w:t xml:space="preserve">Our study sample included both male and female participants across the U.S. Previously, empirical evidence has excluded men from research pertaining to DV within the </w:t>
      </w:r>
      <w:r w:rsidR="00E05D8D">
        <w:t>SA</w:t>
      </w:r>
      <w:r>
        <w:t xml:space="preserve"> community (</w:t>
      </w:r>
      <w:proofErr w:type="spellStart"/>
      <w:r>
        <w:t>Murugan</w:t>
      </w:r>
      <w:proofErr w:type="spellEnd"/>
      <w:r>
        <w:t xml:space="preserve">, 2017; </w:t>
      </w:r>
      <w:r w:rsidR="005C13BD" w:rsidRPr="005C13BD">
        <w:rPr>
          <w:highlight w:val="yellow"/>
        </w:rPr>
        <w:t xml:space="preserve">Rai </w:t>
      </w:r>
      <w:r w:rsidR="00351106">
        <w:rPr>
          <w:highlight w:val="yellow"/>
        </w:rPr>
        <w:t>and</w:t>
      </w:r>
      <w:r w:rsidR="005C13BD" w:rsidRPr="005C13BD">
        <w:rPr>
          <w:highlight w:val="yellow"/>
        </w:rPr>
        <w:t xml:space="preserve"> Choi, 2018; 2021</w:t>
      </w:r>
      <w:r>
        <w:t xml:space="preserve">), and few studies have relied on the use of multi-site samples (Mahapatra, 2012; </w:t>
      </w:r>
      <w:proofErr w:type="spellStart"/>
      <w:r>
        <w:t>Murugan</w:t>
      </w:r>
      <w:proofErr w:type="spellEnd"/>
      <w:r>
        <w:t xml:space="preserve">, 2017). </w:t>
      </w:r>
      <w:r w:rsidR="00584E01" w:rsidRPr="00584E01">
        <w:rPr>
          <w:highlight w:val="yellow"/>
        </w:rPr>
        <w:t xml:space="preserve">Because men have been excluded from DV research within the </w:t>
      </w:r>
      <w:r w:rsidR="00E05D8D">
        <w:rPr>
          <w:highlight w:val="yellow"/>
        </w:rPr>
        <w:t>SA</w:t>
      </w:r>
      <w:r w:rsidR="00584E01" w:rsidRPr="00584E01">
        <w:rPr>
          <w:highlight w:val="yellow"/>
        </w:rPr>
        <w:t xml:space="preserve"> community, there is no prior understanding of </w:t>
      </w:r>
      <w:r w:rsidR="00666AB9">
        <w:rPr>
          <w:highlight w:val="yellow"/>
        </w:rPr>
        <w:t>male</w:t>
      </w:r>
      <w:r w:rsidR="00584E01" w:rsidRPr="00584E01">
        <w:rPr>
          <w:highlight w:val="yellow"/>
        </w:rPr>
        <w:t xml:space="preserve"> DV </w:t>
      </w:r>
      <w:r w:rsidR="00666AB9">
        <w:rPr>
          <w:highlight w:val="yellow"/>
        </w:rPr>
        <w:t>victimization</w:t>
      </w:r>
      <w:r w:rsidR="00584E01" w:rsidRPr="00584E01">
        <w:rPr>
          <w:highlight w:val="yellow"/>
        </w:rPr>
        <w:t>.</w:t>
      </w:r>
      <w:r w:rsidR="00584E01">
        <w:t xml:space="preserve"> </w:t>
      </w:r>
      <w:r>
        <w:t xml:space="preserve">By involving both men and women, the goal of the </w:t>
      </w:r>
      <w:r w:rsidR="00EE68C4">
        <w:t xml:space="preserve">overall </w:t>
      </w:r>
      <w:r>
        <w:t>study was to move away from the rhetoric of treating DV as an issue primarily confronting women</w:t>
      </w:r>
      <w:r w:rsidR="00584E01">
        <w:t xml:space="preserve"> and </w:t>
      </w:r>
      <w:r w:rsidR="00584E01" w:rsidRPr="00584E01">
        <w:rPr>
          <w:highlight w:val="yellow"/>
        </w:rPr>
        <w:t>allow</w:t>
      </w:r>
      <w:r w:rsidR="002B239E">
        <w:rPr>
          <w:highlight w:val="yellow"/>
        </w:rPr>
        <w:t>ing</w:t>
      </w:r>
      <w:r w:rsidR="00584E01" w:rsidRPr="00584E01">
        <w:rPr>
          <w:highlight w:val="yellow"/>
        </w:rPr>
        <w:t xml:space="preserve"> men to participate in sharing their view of </w:t>
      </w:r>
      <w:proofErr w:type="gramStart"/>
      <w:r w:rsidR="00584E01" w:rsidRPr="00584E01">
        <w:rPr>
          <w:highlight w:val="yellow"/>
        </w:rPr>
        <w:t>in-laws</w:t>
      </w:r>
      <w:proofErr w:type="gramEnd"/>
      <w:r w:rsidR="00584E01" w:rsidRPr="00584E01">
        <w:rPr>
          <w:highlight w:val="yellow"/>
        </w:rPr>
        <w:t xml:space="preserve"> abuse</w:t>
      </w:r>
      <w:r>
        <w:t xml:space="preserve">. Furthermore, including a sample of </w:t>
      </w:r>
      <w:r w:rsidR="00E05D8D">
        <w:t>SAs</w:t>
      </w:r>
      <w:r>
        <w:t xml:space="preserve"> across </w:t>
      </w:r>
      <w:r w:rsidR="00E05D8D">
        <w:t>the</w:t>
      </w:r>
      <w:r>
        <w:t xml:space="preserve"> diaspora strengthens the study, </w:t>
      </w:r>
      <w:r w:rsidR="00EE68C4">
        <w:t xml:space="preserve">furthering </w:t>
      </w:r>
      <w:r>
        <w:t>disaggregation</w:t>
      </w:r>
      <w:r w:rsidR="00EE68C4">
        <w:t xml:space="preserve"> by not being grouped with other immigrant groups</w:t>
      </w:r>
      <w:r>
        <w:t xml:space="preserve">. </w:t>
      </w:r>
    </w:p>
    <w:p w14:paraId="08205B5B" w14:textId="237DC4CF" w:rsidR="00DE14BF" w:rsidRDefault="00F3158C" w:rsidP="00613C2D">
      <w:pPr>
        <w:spacing w:line="480" w:lineRule="auto"/>
      </w:pPr>
      <w:r>
        <w:tab/>
        <w:t xml:space="preserve">While examining the perceptions of </w:t>
      </w:r>
      <w:proofErr w:type="gramStart"/>
      <w:r>
        <w:t>in-laws</w:t>
      </w:r>
      <w:proofErr w:type="gramEnd"/>
      <w:r>
        <w:t xml:space="preserve"> abuse, the order of frequencies for the different items stand out. “</w:t>
      </w:r>
      <w:r w:rsidR="00C63736">
        <w:t>P</w:t>
      </w:r>
      <w:r>
        <w:t xml:space="preserve">hysical harm by in-laws” had the highest frequency both for men and women. This aligns with the definition of </w:t>
      </w:r>
      <w:r w:rsidR="00744379">
        <w:t>DV</w:t>
      </w:r>
      <w:r>
        <w:t xml:space="preserve"> being physical (Black et al., 2011; </w:t>
      </w:r>
      <w:r w:rsidR="00432B12">
        <w:t>CDC, 2020</w:t>
      </w:r>
      <w:r>
        <w:t xml:space="preserve">). </w:t>
      </w:r>
      <w:r w:rsidR="00CE4AE8">
        <w:t xml:space="preserve">It is possible that </w:t>
      </w:r>
      <w:r w:rsidR="00E05D8D">
        <w:t>SA</w:t>
      </w:r>
      <w:r w:rsidR="00CE4AE8">
        <w:t xml:space="preserve"> community members continued to deem physical abuse even in the context of in-laws abuse as the most salient form of abuse. </w:t>
      </w:r>
      <w:r w:rsidR="00744379">
        <w:t>We also</w:t>
      </w:r>
      <w:r>
        <w:t xml:space="preserve"> saw that “demeaning tone used by in-laws” corresponding with </w:t>
      </w:r>
      <w:r w:rsidR="00FB5D91">
        <w:t>psychological</w:t>
      </w:r>
      <w:r>
        <w:t xml:space="preserve"> abuse in the definition of </w:t>
      </w:r>
      <w:r w:rsidR="00744379">
        <w:t xml:space="preserve">DV </w:t>
      </w:r>
      <w:r>
        <w:t>(</w:t>
      </w:r>
      <w:r w:rsidR="00FB5D91">
        <w:t>Breiding et al., 2015</w:t>
      </w:r>
      <w:r>
        <w:t>)</w:t>
      </w:r>
      <w:r w:rsidR="007C1FDB">
        <w:t xml:space="preserve"> had the seco</w:t>
      </w:r>
      <w:r w:rsidR="00C035E1">
        <w:t>n</w:t>
      </w:r>
      <w:r w:rsidR="007C1FDB">
        <w:t>d highest frequencies</w:t>
      </w:r>
      <w:r w:rsidR="00DE0E4E">
        <w:t xml:space="preserve">. </w:t>
      </w:r>
      <w:r>
        <w:t>The third highest frequency “interference over financial matters by in-laws”</w:t>
      </w:r>
      <w:r w:rsidR="00DE0E4E">
        <w:t xml:space="preserve"> is important</w:t>
      </w:r>
      <w:r w:rsidR="00EF0362">
        <w:t xml:space="preserve">. Some </w:t>
      </w:r>
      <w:r w:rsidR="00744379">
        <w:t>DV</w:t>
      </w:r>
      <w:r w:rsidR="00EF0362">
        <w:t xml:space="preserve"> definitions include economic abuse, however there is a need for more focus on this </w:t>
      </w:r>
      <w:r w:rsidR="00744379">
        <w:t>form</w:t>
      </w:r>
      <w:r w:rsidR="00EF0362">
        <w:t xml:space="preserve"> of abuse</w:t>
      </w:r>
      <w:r w:rsidR="00ED19A1">
        <w:t xml:space="preserve"> using validated measures</w:t>
      </w:r>
      <w:r w:rsidR="00963CDF">
        <w:t>,</w:t>
      </w:r>
      <w:r w:rsidR="00ED19A1">
        <w:t xml:space="preserve"> such as the Scale of Economic Abuse-Short </w:t>
      </w:r>
      <w:r w:rsidR="00EE68C4">
        <w:t>in tandem with SMILE</w:t>
      </w:r>
      <w:r w:rsidR="00EF0362">
        <w:t xml:space="preserve"> (</w:t>
      </w:r>
      <w:r w:rsidR="00432B12">
        <w:t>NCADV, n.d.</w:t>
      </w:r>
      <w:r w:rsidR="00ED19A1">
        <w:t xml:space="preserve">; </w:t>
      </w:r>
      <w:r w:rsidR="005C13BD" w:rsidRPr="005C13BD">
        <w:rPr>
          <w:highlight w:val="yellow"/>
        </w:rPr>
        <w:t xml:space="preserve">Rai </w:t>
      </w:r>
      <w:r w:rsidR="00351106">
        <w:rPr>
          <w:highlight w:val="yellow"/>
        </w:rPr>
        <w:t>and</w:t>
      </w:r>
      <w:r w:rsidR="005C13BD" w:rsidRPr="005C13BD">
        <w:rPr>
          <w:highlight w:val="yellow"/>
        </w:rPr>
        <w:t xml:space="preserve"> Choi, 2021</w:t>
      </w:r>
      <w:r w:rsidR="004B521D">
        <w:rPr>
          <w:highlight w:val="yellow"/>
        </w:rPr>
        <w:t>; Voth Sch</w:t>
      </w:r>
      <w:r w:rsidR="00182414">
        <w:rPr>
          <w:highlight w:val="yellow"/>
        </w:rPr>
        <w:t>rag</w:t>
      </w:r>
      <w:r w:rsidR="0051432B">
        <w:rPr>
          <w:highlight w:val="yellow"/>
        </w:rPr>
        <w:t xml:space="preserve"> and Ravi</w:t>
      </w:r>
      <w:r w:rsidR="00182414">
        <w:rPr>
          <w:highlight w:val="yellow"/>
        </w:rPr>
        <w:t xml:space="preserve">, </w:t>
      </w:r>
      <w:r w:rsidR="00A82BAB">
        <w:rPr>
          <w:highlight w:val="yellow"/>
        </w:rPr>
        <w:t>2020</w:t>
      </w:r>
      <w:r w:rsidR="00EF0362" w:rsidRPr="005C13BD">
        <w:rPr>
          <w:highlight w:val="yellow"/>
        </w:rPr>
        <w:t>).</w:t>
      </w:r>
      <w:r w:rsidR="00EF0362">
        <w:t xml:space="preserve"> </w:t>
      </w:r>
    </w:p>
    <w:p w14:paraId="10C4BA41" w14:textId="78D4A0E9" w:rsidR="00F3158C" w:rsidRDefault="00DE14BF" w:rsidP="00613C2D">
      <w:pPr>
        <w:spacing w:line="480" w:lineRule="auto"/>
      </w:pPr>
      <w:r>
        <w:lastRenderedPageBreak/>
        <w:tab/>
      </w:r>
      <w:r w:rsidR="00EF0362">
        <w:t xml:space="preserve">Finally, </w:t>
      </w:r>
      <w:r w:rsidR="00007B5B">
        <w:t xml:space="preserve">“interference about whereabouts by in-laws” was the least common type of </w:t>
      </w:r>
      <w:r w:rsidR="007C1FDB">
        <w:t xml:space="preserve">perceived </w:t>
      </w:r>
      <w:r w:rsidR="00007B5B">
        <w:t xml:space="preserve">in-laws abuse. It </w:t>
      </w:r>
      <w:r w:rsidR="00432B12">
        <w:t>is</w:t>
      </w:r>
      <w:r w:rsidR="00007B5B">
        <w:t xml:space="preserve"> </w:t>
      </w:r>
      <w:r w:rsidR="00EF2591">
        <w:t xml:space="preserve">still </w:t>
      </w:r>
      <w:r w:rsidR="00007B5B">
        <w:t xml:space="preserve">noteworthy to mention that more than half of the sample believed this type of violence to be construed as DV by in-laws in the </w:t>
      </w:r>
      <w:r w:rsidR="00E05D8D">
        <w:t>SA</w:t>
      </w:r>
      <w:r w:rsidR="00007B5B">
        <w:t xml:space="preserve"> community. The current definitions of DV may include this under psychological abuse</w:t>
      </w:r>
      <w:r w:rsidR="00432B12">
        <w:t xml:space="preserve"> (CDC, 2020)</w:t>
      </w:r>
      <w:r w:rsidR="00007B5B">
        <w:t xml:space="preserve">. However, it is imperative to state that none of the current definitions </w:t>
      </w:r>
      <w:r w:rsidR="00432B12">
        <w:t>of DV focus</w:t>
      </w:r>
      <w:r w:rsidR="002B239E">
        <w:t>es</w:t>
      </w:r>
      <w:r w:rsidR="00432B12">
        <w:t xml:space="preserve"> on </w:t>
      </w:r>
      <w:proofErr w:type="gramStart"/>
      <w:r w:rsidR="00432B12">
        <w:t>in-laws</w:t>
      </w:r>
      <w:proofErr w:type="gramEnd"/>
      <w:r w:rsidR="008966ED">
        <w:t xml:space="preserve"> </w:t>
      </w:r>
      <w:r w:rsidR="00432B12">
        <w:t xml:space="preserve">abuse relating to the </w:t>
      </w:r>
      <w:r w:rsidR="00E05D8D">
        <w:t>SA</w:t>
      </w:r>
      <w:r w:rsidR="00432B12">
        <w:t xml:space="preserve"> community as well as the larger immigrant community. </w:t>
      </w:r>
      <w:r w:rsidR="002132ED">
        <w:t xml:space="preserve">These tactics need to be added to the definitions of DV to make it more inclusive of DV tactics across diverse communities. </w:t>
      </w:r>
      <w:r>
        <w:t xml:space="preserve">Upon examining the factor structure of the SMILE, we observed that, the scale explained slightly higher variance among female participants, 81% compared to 80% for male participants. The range of factor loadings were somewhat wider for female participants as compared to male participants. Cronbach’s alpha indicated that the SMILE exhibited high reliability (Bland </w:t>
      </w:r>
      <w:r w:rsidR="00351106">
        <w:t>and</w:t>
      </w:r>
      <w:r>
        <w:t xml:space="preserve"> Altman, 1997) indicating that this was a reliable measure to investigate </w:t>
      </w:r>
      <w:r w:rsidR="00744379">
        <w:t xml:space="preserve">perceptions of </w:t>
      </w:r>
      <w:proofErr w:type="gramStart"/>
      <w:r>
        <w:t>in-laws</w:t>
      </w:r>
      <w:proofErr w:type="gramEnd"/>
      <w:r>
        <w:t xml:space="preserve"> abuse among </w:t>
      </w:r>
      <w:r w:rsidR="00E05D8D">
        <w:t>SA</w:t>
      </w:r>
      <w:r>
        <w:t xml:space="preserve"> immigrants</w:t>
      </w:r>
      <w:r w:rsidR="00AF35A8">
        <w:t xml:space="preserve">. </w:t>
      </w:r>
      <w:r w:rsidR="00DA7E26" w:rsidRPr="00DA7E26">
        <w:rPr>
          <w:highlight w:val="yellow"/>
        </w:rPr>
        <w:t xml:space="preserve">The prevalence rates of in-laws abuse as </w:t>
      </w:r>
      <w:r w:rsidR="00666AB9">
        <w:rPr>
          <w:highlight w:val="yellow"/>
        </w:rPr>
        <w:t>disclosed</w:t>
      </w:r>
      <w:r w:rsidR="00666AB9" w:rsidRPr="00DA7E26">
        <w:rPr>
          <w:highlight w:val="yellow"/>
        </w:rPr>
        <w:t xml:space="preserve"> </w:t>
      </w:r>
      <w:r w:rsidR="00DA7E26" w:rsidRPr="00DA7E26">
        <w:rPr>
          <w:highlight w:val="yellow"/>
        </w:rPr>
        <w:t xml:space="preserve">in </w:t>
      </w:r>
      <w:r w:rsidR="00DA7E26">
        <w:rPr>
          <w:highlight w:val="yellow"/>
        </w:rPr>
        <w:t xml:space="preserve">the </w:t>
      </w:r>
      <w:r w:rsidR="00431884">
        <w:rPr>
          <w:highlight w:val="yellow"/>
        </w:rPr>
        <w:t xml:space="preserve">study by </w:t>
      </w:r>
      <w:r w:rsidR="00DA7E26">
        <w:rPr>
          <w:highlight w:val="yellow"/>
        </w:rPr>
        <w:t xml:space="preserve">Rai </w:t>
      </w:r>
      <w:r w:rsidR="00351106">
        <w:rPr>
          <w:highlight w:val="yellow"/>
        </w:rPr>
        <w:t>and</w:t>
      </w:r>
      <w:r w:rsidR="00DA7E26">
        <w:rPr>
          <w:highlight w:val="yellow"/>
        </w:rPr>
        <w:t xml:space="preserve"> Choi, 2021)</w:t>
      </w:r>
      <w:r w:rsidR="00DA7E26" w:rsidRPr="00DA7E26">
        <w:rPr>
          <w:highlight w:val="yellow"/>
        </w:rPr>
        <w:t>, 19% (male participants) versus 21% (female participants) calls for ongoing research for both male and female part</w:t>
      </w:r>
      <w:r w:rsidR="002B239E">
        <w:rPr>
          <w:highlight w:val="yellow"/>
        </w:rPr>
        <w:t>i</w:t>
      </w:r>
      <w:r w:rsidR="00DA7E26" w:rsidRPr="00DA7E26">
        <w:rPr>
          <w:highlight w:val="yellow"/>
        </w:rPr>
        <w:t xml:space="preserve">cipants with regards to </w:t>
      </w:r>
      <w:proofErr w:type="gramStart"/>
      <w:r w:rsidR="00DA7E26" w:rsidRPr="00DA7E26">
        <w:rPr>
          <w:highlight w:val="yellow"/>
        </w:rPr>
        <w:t>in-laws</w:t>
      </w:r>
      <w:proofErr w:type="gramEnd"/>
      <w:r w:rsidR="00DA7E26" w:rsidRPr="00DA7E26">
        <w:rPr>
          <w:highlight w:val="yellow"/>
        </w:rPr>
        <w:t xml:space="preserve"> victimization in addition to examining other forms of abuse.</w:t>
      </w:r>
      <w:r w:rsidR="00DA7E26">
        <w:t xml:space="preserve"> </w:t>
      </w:r>
      <w:r w:rsidR="00794B2D">
        <w:t xml:space="preserve">Given that </w:t>
      </w:r>
      <w:r w:rsidR="00E05D8D">
        <w:t>SA</w:t>
      </w:r>
      <w:r w:rsidR="00794B2D">
        <w:t xml:space="preserve"> immigrants are spread </w:t>
      </w:r>
      <w:r w:rsidR="004F4B82">
        <w:t xml:space="preserve">across </w:t>
      </w:r>
      <w:r w:rsidR="00794B2D">
        <w:t xml:space="preserve">other countries outside of the U.S. such as, the United Kingdom and Canada among other countries, this instrument can be used with </w:t>
      </w:r>
      <w:r w:rsidR="00E05D8D">
        <w:t>SAs</w:t>
      </w:r>
      <w:r w:rsidR="00794B2D">
        <w:t xml:space="preserve"> as well as other immigrants in those regions. </w:t>
      </w:r>
    </w:p>
    <w:p w14:paraId="2644B01D" w14:textId="15556DE6" w:rsidR="003331BF" w:rsidRPr="003331BF" w:rsidRDefault="003331BF" w:rsidP="00613C2D">
      <w:pPr>
        <w:spacing w:line="480" w:lineRule="auto"/>
        <w:rPr>
          <w:b/>
          <w:bCs/>
        </w:rPr>
      </w:pPr>
      <w:r w:rsidRPr="003331BF">
        <w:rPr>
          <w:b/>
          <w:bCs/>
        </w:rPr>
        <w:t>Limitations of the Scale</w:t>
      </w:r>
    </w:p>
    <w:p w14:paraId="41AC2FAD" w14:textId="484AA987" w:rsidR="00432B12" w:rsidRDefault="0078020E" w:rsidP="00D33790">
      <w:pPr>
        <w:spacing w:line="480" w:lineRule="auto"/>
      </w:pPr>
      <w:r>
        <w:tab/>
        <w:t xml:space="preserve">Despite the contributions of developing a culturally valid tool for </w:t>
      </w:r>
      <w:r w:rsidR="00E05D8D">
        <w:t>SA</w:t>
      </w:r>
      <w:r>
        <w:t xml:space="preserve"> immigrants, there were some limitations associated with the main study. Given the complicated nature of DV in the </w:t>
      </w:r>
      <w:r w:rsidR="00E05D8D">
        <w:t>SA</w:t>
      </w:r>
      <w:r>
        <w:t xml:space="preserve"> community as well as in other immigrant groups, survey research in general can be a limitation due to self-reported data. Furthermore, even though community-based strategies were </w:t>
      </w:r>
      <w:r>
        <w:lastRenderedPageBreak/>
        <w:t xml:space="preserve">used for recruitment, the taboo associated with DV conversations could have limited participation and participants from honestly disclosing responses. Finally, despite the study’s novel contribution in developing an instrument to examine the </w:t>
      </w:r>
      <w:r w:rsidR="007C1FDB">
        <w:t>components</w:t>
      </w:r>
      <w:r>
        <w:t xml:space="preserve"> of </w:t>
      </w:r>
      <w:proofErr w:type="gramStart"/>
      <w:r>
        <w:t>in-laws</w:t>
      </w:r>
      <w:proofErr w:type="gramEnd"/>
      <w:r>
        <w:t xml:space="preserve"> abuse, prevalence rates utilizing</w:t>
      </w:r>
      <w:r w:rsidR="00875C14">
        <w:t xml:space="preserve"> the items included in</w:t>
      </w:r>
      <w:r>
        <w:t xml:space="preserve"> this scale still need to be established. </w:t>
      </w:r>
      <w:r w:rsidR="002501BA">
        <w:t xml:space="preserve">Since </w:t>
      </w:r>
      <w:proofErr w:type="gramStart"/>
      <w:r w:rsidR="002501BA">
        <w:t>in-laws</w:t>
      </w:r>
      <w:proofErr w:type="gramEnd"/>
      <w:r w:rsidR="002501BA">
        <w:t xml:space="preserve"> abuse was not measured using SMILE in the present study, no concurrent validity with another instrument including items measuring in-laws could be established. Future scholars are encouraged to validate the SMILE with immigrants and establish concurrent validity with instruments that may have some items measuring in-laws abuse (see Soglin et al., 2020). </w:t>
      </w:r>
      <w:r>
        <w:t xml:space="preserve">However, the goal of the present study was to utilize the perceptions of the </w:t>
      </w:r>
      <w:r w:rsidR="00E05D8D">
        <w:t>SA</w:t>
      </w:r>
      <w:r>
        <w:t xml:space="preserve"> community to develop a scale which can be tested in the future to capture prevalence rates and be used </w:t>
      </w:r>
      <w:r w:rsidR="00744379">
        <w:t xml:space="preserve">for assessment. </w:t>
      </w:r>
      <w:r w:rsidR="00AB6F2A" w:rsidRPr="00AB6F2A">
        <w:rPr>
          <w:highlight w:val="yellow"/>
        </w:rPr>
        <w:t xml:space="preserve">Authors have reported a separate study where in-laws abuse was measured using a single item, however the prevalence of </w:t>
      </w:r>
      <w:proofErr w:type="gramStart"/>
      <w:r w:rsidR="00AB6F2A" w:rsidRPr="00AB6F2A">
        <w:rPr>
          <w:highlight w:val="yellow"/>
        </w:rPr>
        <w:t>in-laws</w:t>
      </w:r>
      <w:proofErr w:type="gramEnd"/>
      <w:r w:rsidR="00AB6F2A" w:rsidRPr="00AB6F2A">
        <w:rPr>
          <w:highlight w:val="yellow"/>
        </w:rPr>
        <w:t xml:space="preserve"> abuse utilizing SMILE still need</w:t>
      </w:r>
      <w:r w:rsidR="008C0441">
        <w:rPr>
          <w:highlight w:val="yellow"/>
        </w:rPr>
        <w:t>s</w:t>
      </w:r>
      <w:r w:rsidR="00AB6F2A" w:rsidRPr="00AB6F2A">
        <w:rPr>
          <w:highlight w:val="yellow"/>
        </w:rPr>
        <w:t xml:space="preserve"> to be established. Detailed discussion is beyond the scope of this paper (</w:t>
      </w:r>
      <w:r w:rsidR="009A6817">
        <w:rPr>
          <w:highlight w:val="yellow"/>
        </w:rPr>
        <w:t xml:space="preserve">see </w:t>
      </w:r>
      <w:r w:rsidR="00AB6F2A" w:rsidRPr="00AB6F2A">
        <w:rPr>
          <w:highlight w:val="yellow"/>
        </w:rPr>
        <w:t xml:space="preserve">Rai </w:t>
      </w:r>
      <w:r w:rsidR="00351106">
        <w:rPr>
          <w:highlight w:val="yellow"/>
        </w:rPr>
        <w:t>and</w:t>
      </w:r>
      <w:r w:rsidR="00AB6F2A" w:rsidRPr="00AB6F2A">
        <w:rPr>
          <w:highlight w:val="yellow"/>
        </w:rPr>
        <w:t xml:space="preserve"> Choi, 2021)</w:t>
      </w:r>
      <w:r w:rsidR="00AB6F2A">
        <w:t xml:space="preserve">. </w:t>
      </w:r>
      <w:r w:rsidR="00734B2B">
        <w:rPr>
          <w:highlight w:val="yellow"/>
        </w:rPr>
        <w:t>Ultimately,</w:t>
      </w:r>
      <w:r w:rsidR="00AB6F2A" w:rsidRPr="00AB6F2A">
        <w:rPr>
          <w:highlight w:val="yellow"/>
        </w:rPr>
        <w:t xml:space="preserve"> the online survey was conducted in English and Hindi, assuming some level of participant literacy and access to an electronic device. Future studies that utilize other means of data collection, such</w:t>
      </w:r>
      <w:r w:rsidR="002B239E">
        <w:rPr>
          <w:highlight w:val="yellow"/>
        </w:rPr>
        <w:t xml:space="preserve"> as</w:t>
      </w:r>
      <w:r w:rsidR="00AB6F2A" w:rsidRPr="00AB6F2A">
        <w:rPr>
          <w:highlight w:val="yellow"/>
        </w:rPr>
        <w:t xml:space="preserve"> </w:t>
      </w:r>
      <w:r w:rsidR="00DE4779">
        <w:rPr>
          <w:highlight w:val="yellow"/>
        </w:rPr>
        <w:t>in-person interviews</w:t>
      </w:r>
      <w:r w:rsidR="00AB6F2A" w:rsidRPr="00AB6F2A">
        <w:rPr>
          <w:highlight w:val="yellow"/>
        </w:rPr>
        <w:t xml:space="preserve"> need to be utilized to engage with those </w:t>
      </w:r>
      <w:proofErr w:type="spellStart"/>
      <w:r w:rsidR="00AB6F2A" w:rsidRPr="00AB6F2A">
        <w:rPr>
          <w:highlight w:val="yellow"/>
        </w:rPr>
        <w:t>partcipants</w:t>
      </w:r>
      <w:proofErr w:type="spellEnd"/>
      <w:r w:rsidR="00AB6F2A" w:rsidRPr="00AB6F2A">
        <w:rPr>
          <w:highlight w:val="yellow"/>
        </w:rPr>
        <w:t xml:space="preserve"> who </w:t>
      </w:r>
      <w:r w:rsidR="004F7A6D">
        <w:rPr>
          <w:highlight w:val="yellow"/>
        </w:rPr>
        <w:t xml:space="preserve">are unable </w:t>
      </w:r>
      <w:r w:rsidR="002B239E">
        <w:rPr>
          <w:highlight w:val="yellow"/>
        </w:rPr>
        <w:t xml:space="preserve">to </w:t>
      </w:r>
      <w:r w:rsidR="00AB6F2A" w:rsidRPr="00AB6F2A">
        <w:rPr>
          <w:highlight w:val="yellow"/>
        </w:rPr>
        <w:t xml:space="preserve">take surveys using online platforms. Despite some shortcomings, this study is salient in highlighting and describing a new construct of </w:t>
      </w:r>
      <w:r w:rsidR="00085978">
        <w:rPr>
          <w:highlight w:val="yellow"/>
        </w:rPr>
        <w:t>DV</w:t>
      </w:r>
      <w:r w:rsidR="00AB6F2A" w:rsidRPr="00AB6F2A">
        <w:rPr>
          <w:highlight w:val="yellow"/>
        </w:rPr>
        <w:t>, namely in-laws abuse among immigrants.</w:t>
      </w:r>
      <w:r w:rsidR="00AB6F2A">
        <w:t xml:space="preserve"> </w:t>
      </w:r>
    </w:p>
    <w:p w14:paraId="7C4A7498" w14:textId="54442132" w:rsidR="00432B12" w:rsidRDefault="00B41850" w:rsidP="00D33790">
      <w:pPr>
        <w:spacing w:line="480" w:lineRule="auto"/>
      </w:pPr>
      <w:r w:rsidRPr="00B41850">
        <w:rPr>
          <w:b/>
          <w:bCs/>
        </w:rPr>
        <w:t xml:space="preserve">Implications for </w:t>
      </w:r>
      <w:r w:rsidRPr="00CA58F4">
        <w:rPr>
          <w:b/>
          <w:bCs/>
        </w:rPr>
        <w:t xml:space="preserve">Social Work Research, Practice and </w:t>
      </w:r>
      <w:r w:rsidR="00D33790" w:rsidRPr="00CA58F4">
        <w:rPr>
          <w:b/>
          <w:bCs/>
        </w:rPr>
        <w:t>Policy</w:t>
      </w:r>
    </w:p>
    <w:p w14:paraId="193A6B0E" w14:textId="206E07F7" w:rsidR="0026365B" w:rsidRDefault="003A227B" w:rsidP="00E81D0F">
      <w:pPr>
        <w:spacing w:line="480" w:lineRule="auto"/>
        <w:ind w:firstLine="720"/>
      </w:pPr>
      <w:r>
        <w:t>With</w:t>
      </w:r>
      <w:r w:rsidR="0014353A">
        <w:t xml:space="preserve"> </w:t>
      </w:r>
      <w:r>
        <w:t>large numbers</w:t>
      </w:r>
      <w:r w:rsidR="00D33790" w:rsidRPr="00D33790">
        <w:t xml:space="preserve"> of immigrants migrating to </w:t>
      </w:r>
      <w:r w:rsidR="002501BA">
        <w:t>Western countries</w:t>
      </w:r>
      <w:r>
        <w:t xml:space="preserve">, the </w:t>
      </w:r>
      <w:r w:rsidR="00D33790" w:rsidRPr="00D33790">
        <w:t xml:space="preserve">development and use of </w:t>
      </w:r>
      <w:r>
        <w:t xml:space="preserve">DV assessment </w:t>
      </w:r>
      <w:r w:rsidR="00D33790" w:rsidRPr="00D33790">
        <w:t>instruments that cohesively capture the cultural variations and sentiments of communities is essential (</w:t>
      </w:r>
      <w:r>
        <w:t xml:space="preserve">Budiman, 2020; </w:t>
      </w:r>
      <w:r w:rsidR="00D33790" w:rsidRPr="00D33790">
        <w:t>White et al., 201</w:t>
      </w:r>
      <w:r w:rsidR="009024E6">
        <w:t>3</w:t>
      </w:r>
      <w:r w:rsidR="00D33790" w:rsidRPr="00D33790">
        <w:t xml:space="preserve">). The development of the SMILE </w:t>
      </w:r>
      <w:r w:rsidR="00D33790" w:rsidRPr="00D33790">
        <w:lastRenderedPageBreak/>
        <w:t xml:space="preserve">furthers the contribution to social work research and practice by building a unique tool that can measure </w:t>
      </w:r>
      <w:r w:rsidR="00C50C1B">
        <w:t xml:space="preserve">perceptions of </w:t>
      </w:r>
      <w:r w:rsidR="00D33790" w:rsidRPr="00D33790">
        <w:t xml:space="preserve">abuse </w:t>
      </w:r>
      <w:r w:rsidR="00C5563C">
        <w:t xml:space="preserve">by </w:t>
      </w:r>
      <w:r w:rsidR="00D33790" w:rsidRPr="00D33790">
        <w:t xml:space="preserve">in-laws, a commonly occurring form of abuse among </w:t>
      </w:r>
      <w:r w:rsidR="00E05D8D">
        <w:t>SA</w:t>
      </w:r>
      <w:r w:rsidR="00D33790" w:rsidRPr="00D33790">
        <w:t xml:space="preserve"> immigrants (Raj </w:t>
      </w:r>
      <w:r w:rsidR="00351106">
        <w:t>and</w:t>
      </w:r>
      <w:r w:rsidR="00D33790" w:rsidRPr="00D33790">
        <w:t xml:space="preserve"> Silverman, 2002,</w:t>
      </w:r>
      <w:r w:rsidR="00C50C1B">
        <w:t xml:space="preserve"> Raj et al.,</w:t>
      </w:r>
      <w:r w:rsidR="00D33790" w:rsidRPr="00D33790">
        <w:t xml:space="preserve"> 2006; Soglin et al., 2020</w:t>
      </w:r>
      <w:r w:rsidR="00C34745">
        <w:t xml:space="preserve">; </w:t>
      </w:r>
      <w:r w:rsidR="005C13BD" w:rsidRPr="005C13BD">
        <w:rPr>
          <w:highlight w:val="yellow"/>
        </w:rPr>
        <w:t>Rai, 2020a</w:t>
      </w:r>
      <w:r w:rsidR="00D33790" w:rsidRPr="005C13BD">
        <w:rPr>
          <w:highlight w:val="yellow"/>
        </w:rPr>
        <w:t>).</w:t>
      </w:r>
      <w:r w:rsidR="00D33790" w:rsidRPr="00D33790">
        <w:t xml:space="preserve"> </w:t>
      </w:r>
      <w:r w:rsidR="0026365B">
        <w:t xml:space="preserve">Validating culturally responsive measures can be done by incorporating the feedback of community members, experts and scholars which can often be missing from discussions concerning validation approaches. Through the present study, our goal was to highlight </w:t>
      </w:r>
      <w:r w:rsidR="00D25F7F">
        <w:t xml:space="preserve">ways in which culturally responsive instruments can be validated, building empirical evidence in this area. Scholars validating culturally responsive instruments in the future may consider the approaches utilized in the present study. </w:t>
      </w:r>
    </w:p>
    <w:p w14:paraId="3F9DA204" w14:textId="46B3EEDB" w:rsidR="00432B12" w:rsidRDefault="00D25F7F" w:rsidP="00E81D0F">
      <w:pPr>
        <w:spacing w:line="480" w:lineRule="auto"/>
        <w:ind w:firstLine="720"/>
      </w:pPr>
      <w:r>
        <w:t>R</w:t>
      </w:r>
      <w:r w:rsidR="00D33790" w:rsidRPr="00D33790">
        <w:t xml:space="preserve">esearchers and scholars can use </w:t>
      </w:r>
      <w:r>
        <w:t>the SMILE</w:t>
      </w:r>
      <w:r w:rsidR="00D33790" w:rsidRPr="00D33790">
        <w:t xml:space="preserve"> as a foundation </w:t>
      </w:r>
      <w:r w:rsidR="00C50C1B">
        <w:t xml:space="preserve">and </w:t>
      </w:r>
      <w:r w:rsidR="00D33790" w:rsidRPr="00D33790">
        <w:t>expand it further by adding more items</w:t>
      </w:r>
      <w:r w:rsidR="00DE5B11">
        <w:t>,</w:t>
      </w:r>
      <w:r w:rsidR="00D33790" w:rsidRPr="00D33790">
        <w:t xml:space="preserve"> as well as testing it to establish prevalence rates </w:t>
      </w:r>
      <w:r w:rsidR="001547C3" w:rsidRPr="00D33790">
        <w:t xml:space="preserve">across </w:t>
      </w:r>
      <w:r w:rsidR="00E05D8D">
        <w:t>SA</w:t>
      </w:r>
      <w:r w:rsidR="00D33790" w:rsidRPr="00D33790">
        <w:t xml:space="preserve"> and non-</w:t>
      </w:r>
      <w:r w:rsidR="00E05D8D">
        <w:t>SA</w:t>
      </w:r>
      <w:r w:rsidR="00D33790" w:rsidRPr="00D33790">
        <w:t xml:space="preserve"> communities. In the recently published report by Yoshihama et al. (2020), it was found that in-laws abuse was a form of abuse occurring in American as well as non-American </w:t>
      </w:r>
      <w:r w:rsidR="002501BA">
        <w:t xml:space="preserve">immigrant </w:t>
      </w:r>
      <w:r w:rsidR="00D33790" w:rsidRPr="00D33790">
        <w:t>minority communities. Hence, testing this scale with diverse populations and adapting it to suit the nuances of each community may be helpful in highlighting the pronounced nature of this form of abuse</w:t>
      </w:r>
      <w:r w:rsidR="00D268EC">
        <w:t>,</w:t>
      </w:r>
      <w:r w:rsidR="003A227B">
        <w:t xml:space="preserve"> and understanding the prevalence </w:t>
      </w:r>
      <w:r w:rsidR="00D268EC">
        <w:t>and</w:t>
      </w:r>
      <w:r w:rsidR="003A227B">
        <w:t xml:space="preserve"> impact of these exper</w:t>
      </w:r>
      <w:r w:rsidR="00AA2417">
        <w:t>iences</w:t>
      </w:r>
      <w:r w:rsidR="00D33790" w:rsidRPr="00D33790">
        <w:t>.</w:t>
      </w:r>
      <w:r w:rsidR="0026365B">
        <w:t xml:space="preserve"> </w:t>
      </w:r>
      <w:r w:rsidR="00D6010B">
        <w:t xml:space="preserve">The SMILE can be validated in the future using other forms of reliability such as test-retest, correlating it with instruments measuring theoretically related constructs concerning the role of in-laws, or in tandem with measures </w:t>
      </w:r>
      <w:r w:rsidR="00AA2417">
        <w:t>including</w:t>
      </w:r>
      <w:r w:rsidR="00D6010B">
        <w:t xml:space="preserve"> items about </w:t>
      </w:r>
      <w:proofErr w:type="gramStart"/>
      <w:r w:rsidR="00D6010B">
        <w:t>in-laws</w:t>
      </w:r>
      <w:proofErr w:type="gramEnd"/>
      <w:r w:rsidR="00D6010B">
        <w:t xml:space="preserve"> abuse (Engel </w:t>
      </w:r>
      <w:r w:rsidR="00351106">
        <w:t>and</w:t>
      </w:r>
      <w:r w:rsidR="00D6010B">
        <w:t xml:space="preserve"> </w:t>
      </w:r>
      <w:proofErr w:type="spellStart"/>
      <w:r w:rsidR="00D6010B">
        <w:t>Schut</w:t>
      </w:r>
      <w:proofErr w:type="spellEnd"/>
      <w:r w:rsidR="00D6010B">
        <w:t xml:space="preserve">, 2013; Soglin et al., 2013). </w:t>
      </w:r>
      <w:r w:rsidR="002501BA">
        <w:t xml:space="preserve">Further, exploring in-laws abuse across immigrant communities can help establish the extent to which in-laws </w:t>
      </w:r>
      <w:r w:rsidR="007C5DC7">
        <w:t xml:space="preserve">abuse </w:t>
      </w:r>
      <w:r w:rsidR="002501BA">
        <w:t>persists across communities and cultures.</w:t>
      </w:r>
      <w:r w:rsidR="0026365B">
        <w:t xml:space="preserve"> </w:t>
      </w:r>
      <w:r>
        <w:t>Scholars</w:t>
      </w:r>
      <w:r w:rsidR="0026365B">
        <w:t xml:space="preserve"> are encouraged to consider modifying the Power and Control Wheel for immigrants to include in-laws abuse and relevant tactics concerning this form of abuse. </w:t>
      </w:r>
    </w:p>
    <w:p w14:paraId="3946C629" w14:textId="77777777" w:rsidR="00C119E8" w:rsidRDefault="00D33790" w:rsidP="00E81D0F">
      <w:pPr>
        <w:spacing w:line="480" w:lineRule="auto"/>
        <w:ind w:firstLine="720"/>
      </w:pPr>
      <w:r w:rsidRPr="00D33790">
        <w:lastRenderedPageBreak/>
        <w:t>Practitioners from helping profession</w:t>
      </w:r>
      <w:r w:rsidR="003A227B">
        <w:t>s</w:t>
      </w:r>
      <w:r w:rsidRPr="00D33790">
        <w:t xml:space="preserve"> come in frequent contact with victims of DV. </w:t>
      </w:r>
      <w:r w:rsidR="003A227B">
        <w:t>U</w:t>
      </w:r>
      <w:r w:rsidR="00DE5B11">
        <w:t xml:space="preserve">tilizing items from the SMILE </w:t>
      </w:r>
      <w:r w:rsidR="003A227B">
        <w:t>a</w:t>
      </w:r>
      <w:r w:rsidR="00DE5B11">
        <w:t xml:space="preserve">s </w:t>
      </w:r>
      <w:r w:rsidRPr="00D33790">
        <w:t>a screening tool</w:t>
      </w:r>
      <w:r w:rsidR="00DE5B11">
        <w:t xml:space="preserve"> can potentially </w:t>
      </w:r>
      <w:r w:rsidRPr="00D33790">
        <w:t>allow them the opportunity to detect in-laws abuse</w:t>
      </w:r>
      <w:r w:rsidR="003A227B">
        <w:t xml:space="preserve"> and</w:t>
      </w:r>
      <w:r w:rsidRPr="00D33790">
        <w:t xml:space="preserve"> support client and community needs. Interventions and awareness programs that are designed by community-based agencies will also benefit from incorporating conversations and solutions focused on tackling in-laws abuse. This tool can be used in recording pre and post intervention </w:t>
      </w:r>
      <w:r w:rsidR="003A227B">
        <w:t>participant</w:t>
      </w:r>
      <w:r w:rsidR="002A6E67">
        <w:t xml:space="preserve"> perceptions </w:t>
      </w:r>
      <w:r w:rsidR="00DE5B11">
        <w:t>relating to</w:t>
      </w:r>
      <w:r w:rsidRPr="00D33790">
        <w:t xml:space="preserve"> in-laws abuse. Incorporating this type of abuse into programs with immigrants will not only lead to an accurate understanding and detection of DV in immigrant communities</w:t>
      </w:r>
      <w:r w:rsidR="003A227B">
        <w:t>,</w:t>
      </w:r>
      <w:r w:rsidRPr="00D33790">
        <w:t xml:space="preserve"> but also encourage reporting. </w:t>
      </w:r>
    </w:p>
    <w:p w14:paraId="6ABC8FD5" w14:textId="30F21508" w:rsidR="00432B12" w:rsidRDefault="00D268EC" w:rsidP="00E81D0F">
      <w:pPr>
        <w:spacing w:line="480" w:lineRule="auto"/>
        <w:ind w:firstLine="720"/>
      </w:pPr>
      <w:r>
        <w:t xml:space="preserve">Providing a venue for conversations about </w:t>
      </w:r>
      <w:proofErr w:type="gramStart"/>
      <w:r>
        <w:t>in-laws</w:t>
      </w:r>
      <w:proofErr w:type="gramEnd"/>
      <w:r>
        <w:t xml:space="preserve"> abuse can help </w:t>
      </w:r>
      <w:r w:rsidR="00876CEA">
        <w:t xml:space="preserve">both male and female </w:t>
      </w:r>
      <w:r>
        <w:t xml:space="preserve">survivors in breaking their silence and moving past the stigma of reporting. </w:t>
      </w:r>
      <w:r w:rsidR="00D33790" w:rsidRPr="00D33790">
        <w:t xml:space="preserve">Community agencies and policy advocates are also encouraged to make known the provisions of the </w:t>
      </w:r>
      <w:r w:rsidR="00DE5B11">
        <w:t>Violence Against Women Act (</w:t>
      </w:r>
      <w:r w:rsidR="00D33790" w:rsidRPr="00D33790">
        <w:t>VAWA</w:t>
      </w:r>
      <w:r w:rsidR="00DE5B11">
        <w:t>)</w:t>
      </w:r>
      <w:r w:rsidR="00D33790" w:rsidRPr="00D33790">
        <w:t xml:space="preserve"> Act to participants accessing DV services. </w:t>
      </w:r>
      <w:r w:rsidR="001522FA" w:rsidRPr="000815B4">
        <w:rPr>
          <w:highlight w:val="yellow"/>
        </w:rPr>
        <w:t>Domestic abuse</w:t>
      </w:r>
      <w:r w:rsidR="000815B4" w:rsidRPr="000815B4">
        <w:rPr>
          <w:highlight w:val="yellow"/>
        </w:rPr>
        <w:t xml:space="preserve"> and in-laws abuse</w:t>
      </w:r>
      <w:r w:rsidR="00D33790" w:rsidRPr="000815B4">
        <w:rPr>
          <w:highlight w:val="yellow"/>
        </w:rPr>
        <w:t xml:space="preserve"> can </w:t>
      </w:r>
      <w:r w:rsidR="00DE5B11" w:rsidRPr="000815B4">
        <w:rPr>
          <w:highlight w:val="yellow"/>
        </w:rPr>
        <w:t>impact</w:t>
      </w:r>
      <w:r w:rsidR="00D33790" w:rsidRPr="000815B4">
        <w:rPr>
          <w:highlight w:val="yellow"/>
        </w:rPr>
        <w:t xml:space="preserve"> both men and women (</w:t>
      </w:r>
      <w:r w:rsidR="005C13BD" w:rsidRPr="000815B4">
        <w:rPr>
          <w:highlight w:val="yellow"/>
        </w:rPr>
        <w:t xml:space="preserve">Rai </w:t>
      </w:r>
      <w:r w:rsidR="00351106">
        <w:rPr>
          <w:highlight w:val="yellow"/>
        </w:rPr>
        <w:t>and</w:t>
      </w:r>
      <w:r w:rsidR="005C13BD" w:rsidRPr="000815B4">
        <w:rPr>
          <w:highlight w:val="yellow"/>
        </w:rPr>
        <w:t xml:space="preserve"> Choi, 2021; </w:t>
      </w:r>
      <w:r w:rsidR="000815B4" w:rsidRPr="000815B4">
        <w:rPr>
          <w:highlight w:val="yellow"/>
        </w:rPr>
        <w:t>CDC, 2014</w:t>
      </w:r>
      <w:r w:rsidR="00D33790" w:rsidRPr="000815B4">
        <w:rPr>
          <w:highlight w:val="yellow"/>
        </w:rPr>
        <w:t>),</w:t>
      </w:r>
      <w:r w:rsidR="00D33790" w:rsidRPr="00D33790">
        <w:t xml:space="preserve"> therefore, </w:t>
      </w:r>
      <w:r w:rsidR="003A227B">
        <w:t>making</w:t>
      </w:r>
      <w:r w:rsidR="00D33790" w:rsidRPr="00D33790">
        <w:t xml:space="preserve"> the VAWA more inclusive for men </w:t>
      </w:r>
      <w:r w:rsidR="00DE5B11">
        <w:t>is crucial. Furthermore,</w:t>
      </w:r>
      <w:r w:rsidR="00DE5B11" w:rsidRPr="00C67EAE">
        <w:t xml:space="preserve"> the 2005 reauthorization of the VAWA included the creation of grant programs to provide culturally</w:t>
      </w:r>
      <w:r w:rsidR="00E3432D">
        <w:t xml:space="preserve"> </w:t>
      </w:r>
      <w:r w:rsidR="00DE5B11" w:rsidRPr="00C67EAE">
        <w:t>responsive services to survivors</w:t>
      </w:r>
      <w:r w:rsidR="004C063B">
        <w:t xml:space="preserve"> (VAWA,</w:t>
      </w:r>
      <w:r w:rsidR="003A227B">
        <w:t xml:space="preserve"> </w:t>
      </w:r>
      <w:r w:rsidR="004C063B">
        <w:t>2005)</w:t>
      </w:r>
      <w:r w:rsidR="00DE5B11" w:rsidRPr="00C67EAE">
        <w:t>. This funding could provide an avenue for practitioners to create culturally</w:t>
      </w:r>
      <w:r w:rsidR="00E3432D">
        <w:t xml:space="preserve"> </w:t>
      </w:r>
      <w:r w:rsidR="00DE5B11" w:rsidRPr="00C67EAE">
        <w:t xml:space="preserve">responsive interventions for survivors that </w:t>
      </w:r>
      <w:r w:rsidR="00DE5B11">
        <w:t>includes</w:t>
      </w:r>
      <w:r w:rsidR="00DE5B11" w:rsidRPr="00C67EAE">
        <w:t xml:space="preserve"> </w:t>
      </w:r>
      <w:r w:rsidR="00A27930">
        <w:t xml:space="preserve">support for </w:t>
      </w:r>
      <w:r w:rsidR="003A227B">
        <w:t>addressing</w:t>
      </w:r>
      <w:r w:rsidR="00A27930">
        <w:t xml:space="preserve"> </w:t>
      </w:r>
      <w:r w:rsidR="00DE5B11" w:rsidRPr="00C67EAE">
        <w:t>in-laws abuse.</w:t>
      </w:r>
      <w:r w:rsidR="002501BA">
        <w:t xml:space="preserve"> Similarly, making the policies in other countries known to </w:t>
      </w:r>
      <w:r w:rsidR="00B361AC">
        <w:t xml:space="preserve">their </w:t>
      </w:r>
      <w:r w:rsidR="002501BA">
        <w:t>immigrant communities</w:t>
      </w:r>
      <w:r w:rsidR="0026365B">
        <w:t>,</w:t>
      </w:r>
      <w:r w:rsidR="002501BA">
        <w:t xml:space="preserve"> such as the Domestic Abuse Act of 2021</w:t>
      </w:r>
      <w:r w:rsidR="00B361AC">
        <w:t xml:space="preserve"> (Gov.uk, 2021) is pivotal. By integrating an additional stipulation for funding culturally responsive services within the Domestic Abuse Act of 2021, agencies can provide tailored services to immigrant communities. </w:t>
      </w:r>
    </w:p>
    <w:p w14:paraId="4D0BB2DE" w14:textId="2431A1FD" w:rsidR="00B41850" w:rsidRDefault="00D33790" w:rsidP="00B41850">
      <w:pPr>
        <w:spacing w:line="480" w:lineRule="auto"/>
        <w:jc w:val="center"/>
        <w:rPr>
          <w:b/>
          <w:bCs/>
        </w:rPr>
      </w:pPr>
      <w:r w:rsidRPr="00D33790">
        <w:rPr>
          <w:b/>
          <w:bCs/>
        </w:rPr>
        <w:t>Conclusion</w:t>
      </w:r>
    </w:p>
    <w:p w14:paraId="4F2F7805" w14:textId="43527B93" w:rsidR="00B361AC" w:rsidRDefault="00800517" w:rsidP="00491A23">
      <w:pPr>
        <w:spacing w:line="480" w:lineRule="auto"/>
        <w:rPr>
          <w:b/>
          <w:bCs/>
        </w:rPr>
      </w:pPr>
      <w:r>
        <w:lastRenderedPageBreak/>
        <w:tab/>
      </w:r>
      <w:r w:rsidR="00D33790" w:rsidRPr="00D33790">
        <w:t>This research brief highlights the importance of developing culturally responsive instruments for immigran</w:t>
      </w:r>
      <w:r>
        <w:t xml:space="preserve">ts. </w:t>
      </w:r>
      <w:r w:rsidR="00D33790" w:rsidRPr="00D33790">
        <w:t>The development of the SMILE is an integral contribution in investigating and understanding</w:t>
      </w:r>
      <w:r w:rsidR="003A227B">
        <w:t xml:space="preserve"> community perceptions of</w:t>
      </w:r>
      <w:r w:rsidR="00D33790" w:rsidRPr="00D33790">
        <w:t xml:space="preserve"> abuse by in-laws among </w:t>
      </w:r>
      <w:r w:rsidR="00E05D8D">
        <w:t>SAs</w:t>
      </w:r>
      <w:r w:rsidR="00D33790" w:rsidRPr="00D33790">
        <w:t xml:space="preserve">. </w:t>
      </w:r>
      <w:r w:rsidR="00E714FE">
        <w:t xml:space="preserve">The SMILE demonstrated that </w:t>
      </w:r>
      <w:r w:rsidR="005D386C">
        <w:t xml:space="preserve">it </w:t>
      </w:r>
      <w:r w:rsidR="00E714FE">
        <w:t xml:space="preserve">is a reliable measure to investigate perceptions of in-laws abuse among </w:t>
      </w:r>
      <w:r w:rsidR="00E05D8D">
        <w:t>SA</w:t>
      </w:r>
      <w:r w:rsidR="00E714FE">
        <w:t xml:space="preserve"> immigrants. </w:t>
      </w:r>
      <w:r w:rsidR="003A227B">
        <w:t>S</w:t>
      </w:r>
      <w:r w:rsidR="00D33790" w:rsidRPr="00D33790">
        <w:t xml:space="preserve">ocial work scholars can test </w:t>
      </w:r>
      <w:r w:rsidR="00C50C1B">
        <w:t xml:space="preserve">and build on </w:t>
      </w:r>
      <w:r w:rsidR="00D33790" w:rsidRPr="00D33790">
        <w:t xml:space="preserve">this instrument with </w:t>
      </w:r>
      <w:r w:rsidR="00E05D8D">
        <w:t>SAs</w:t>
      </w:r>
      <w:r w:rsidR="00D33790" w:rsidRPr="00D33790">
        <w:t xml:space="preserve"> and other immigrant groups</w:t>
      </w:r>
      <w:r w:rsidR="003A227B">
        <w:t xml:space="preserve">, </w:t>
      </w:r>
      <w:r w:rsidR="00876CEA">
        <w:t>making the</w:t>
      </w:r>
      <w:r w:rsidR="002A6E67">
        <w:t xml:space="preserve"> SMILE </w:t>
      </w:r>
      <w:r w:rsidR="00876CEA">
        <w:t>a useful</w:t>
      </w:r>
      <w:r w:rsidR="00A27930">
        <w:t xml:space="preserve"> assessment</w:t>
      </w:r>
      <w:r w:rsidR="00876CEA">
        <w:t xml:space="preserve"> tool</w:t>
      </w:r>
      <w:r w:rsidR="00A27930">
        <w:t xml:space="preserve"> for survivors</w:t>
      </w:r>
      <w:r w:rsidR="002A6E67">
        <w:t xml:space="preserve"> of</w:t>
      </w:r>
      <w:r w:rsidR="00D33790" w:rsidRPr="00D33790">
        <w:t xml:space="preserve"> </w:t>
      </w:r>
      <w:r w:rsidR="002A6E67">
        <w:t>DV</w:t>
      </w:r>
      <w:r w:rsidR="004C063B">
        <w:t xml:space="preserve">. </w:t>
      </w:r>
      <w:r w:rsidR="00B361AC">
        <w:t>The findings of this study are crucial in dismantling the Western understanding of DV and in supporting immigrant communities</w:t>
      </w:r>
      <w:r w:rsidR="00196F2C">
        <w:t xml:space="preserve"> </w:t>
      </w:r>
      <w:r w:rsidR="00196F2C" w:rsidRPr="00196F2C">
        <w:rPr>
          <w:highlight w:val="yellow"/>
        </w:rPr>
        <w:t>(including men and women)</w:t>
      </w:r>
      <w:r w:rsidR="00B361AC">
        <w:t xml:space="preserve"> across the world. It is time for us to collectively engage in decolonizing our assessment instruments</w:t>
      </w:r>
      <w:r w:rsidR="0026365B">
        <w:t>,</w:t>
      </w:r>
      <w:r w:rsidR="00B361AC">
        <w:t xml:space="preserve"> so minority communities are able to receive services that accurately capture their needs.</w:t>
      </w:r>
    </w:p>
    <w:p w14:paraId="35C91343" w14:textId="77777777" w:rsidR="00B361AC" w:rsidRDefault="00B361AC" w:rsidP="00366418">
      <w:pPr>
        <w:contextualSpacing/>
        <w:jc w:val="center"/>
        <w:rPr>
          <w:b/>
          <w:bCs/>
        </w:rPr>
      </w:pPr>
    </w:p>
    <w:p w14:paraId="5CF27F09" w14:textId="77777777" w:rsidR="00E72E47" w:rsidRDefault="00E72E47">
      <w:pPr>
        <w:rPr>
          <w:b/>
          <w:bCs/>
        </w:rPr>
      </w:pPr>
      <w:r>
        <w:rPr>
          <w:b/>
          <w:bCs/>
        </w:rPr>
        <w:br w:type="page"/>
      </w:r>
    </w:p>
    <w:p w14:paraId="1C70A967" w14:textId="0754D816" w:rsidR="00366418" w:rsidRDefault="00366418" w:rsidP="00366418">
      <w:pPr>
        <w:contextualSpacing/>
        <w:jc w:val="center"/>
        <w:rPr>
          <w:b/>
          <w:bCs/>
        </w:rPr>
      </w:pPr>
      <w:r w:rsidRPr="00D33790">
        <w:rPr>
          <w:b/>
          <w:bCs/>
        </w:rPr>
        <w:lastRenderedPageBreak/>
        <w:t>References</w:t>
      </w:r>
    </w:p>
    <w:p w14:paraId="71ADC33D" w14:textId="6FEECF18" w:rsidR="00774346" w:rsidRPr="00774346" w:rsidRDefault="00774346" w:rsidP="00774346">
      <w:pPr>
        <w:rPr>
          <w:color w:val="000000" w:themeColor="text1"/>
        </w:rPr>
      </w:pPr>
      <w:r w:rsidRPr="00774346">
        <w:rPr>
          <w:color w:val="000000" w:themeColor="text1"/>
        </w:rPr>
        <w:t>Abraham, M. (2005) ‘Domestic violence and the Indian diaspora in the United States.’,  </w:t>
      </w:r>
      <w:r w:rsidRPr="00774346">
        <w:rPr>
          <w:i/>
          <w:color w:val="000000" w:themeColor="text1"/>
        </w:rPr>
        <w:t xml:space="preserve">Indian </w:t>
      </w:r>
    </w:p>
    <w:p w14:paraId="3227FD03" w14:textId="378BB704" w:rsidR="00774346" w:rsidRPr="00774346" w:rsidRDefault="00774346" w:rsidP="00774346">
      <w:pPr>
        <w:rPr>
          <w:b/>
          <w:bCs/>
        </w:rPr>
      </w:pPr>
      <w:r>
        <w:rPr>
          <w:i/>
          <w:color w:val="000000" w:themeColor="text1"/>
        </w:rPr>
        <w:tab/>
      </w:r>
      <w:r w:rsidRPr="00774346">
        <w:rPr>
          <w:i/>
          <w:color w:val="000000" w:themeColor="text1"/>
        </w:rPr>
        <w:t>Journal of Gender Studies</w:t>
      </w:r>
      <w:r w:rsidRPr="00774346">
        <w:rPr>
          <w:iCs/>
          <w:color w:val="000000" w:themeColor="text1"/>
        </w:rPr>
        <w:t>,</w:t>
      </w:r>
      <w:r w:rsidRPr="00774346">
        <w:rPr>
          <w:i/>
          <w:color w:val="000000" w:themeColor="text1"/>
        </w:rPr>
        <w:t> </w:t>
      </w:r>
      <w:r w:rsidRPr="00774346">
        <w:rPr>
          <w:iCs/>
          <w:color w:val="000000" w:themeColor="text1"/>
        </w:rPr>
        <w:t>12</w:t>
      </w:r>
      <w:r w:rsidRPr="00774346">
        <w:rPr>
          <w:color w:val="000000" w:themeColor="text1"/>
        </w:rPr>
        <w:t>(2-3), pp.427-451. doi:</w:t>
      </w:r>
      <w:hyperlink r:id="rId11" w:history="1">
        <w:r w:rsidRPr="00774346">
          <w:rPr>
            <w:rStyle w:val="Hyperlink"/>
            <w:color w:val="auto"/>
            <w:u w:val="none"/>
          </w:rPr>
          <w:t>10.1177/097152150501200212</w:t>
        </w:r>
      </w:hyperlink>
    </w:p>
    <w:p w14:paraId="43222DB0" w14:textId="77777777" w:rsidR="00774346" w:rsidRPr="00774346" w:rsidRDefault="00774346" w:rsidP="00774346">
      <w:pPr>
        <w:rPr>
          <w:color w:val="000000" w:themeColor="text1"/>
        </w:rPr>
      </w:pPr>
      <w:proofErr w:type="spellStart"/>
      <w:r w:rsidRPr="00774346">
        <w:rPr>
          <w:color w:val="000000" w:themeColor="text1"/>
        </w:rPr>
        <w:t>Aday</w:t>
      </w:r>
      <w:proofErr w:type="spellEnd"/>
      <w:r w:rsidRPr="00774346">
        <w:rPr>
          <w:color w:val="000000" w:themeColor="text1"/>
        </w:rPr>
        <w:t xml:space="preserve">, L.A. and Cornelius, L.J. (2006) </w:t>
      </w:r>
      <w:r w:rsidRPr="00774346">
        <w:rPr>
          <w:i/>
          <w:iCs/>
          <w:color w:val="000000" w:themeColor="text1"/>
        </w:rPr>
        <w:t>Designing and conducting health surveys: A</w:t>
      </w:r>
      <w:r w:rsidRPr="00774346">
        <w:rPr>
          <w:i/>
          <w:iCs/>
          <w:color w:val="000000" w:themeColor="text1"/>
        </w:rPr>
        <w:tab/>
        <w:t>comprehensive guide</w:t>
      </w:r>
      <w:r w:rsidRPr="00774346">
        <w:rPr>
          <w:color w:val="000000" w:themeColor="text1"/>
        </w:rPr>
        <w:t>. 3</w:t>
      </w:r>
      <w:r w:rsidRPr="00774346">
        <w:rPr>
          <w:color w:val="000000" w:themeColor="text1"/>
          <w:vertAlign w:val="superscript"/>
        </w:rPr>
        <w:t>rd</w:t>
      </w:r>
      <w:r w:rsidRPr="00774346">
        <w:rPr>
          <w:color w:val="000000" w:themeColor="text1"/>
        </w:rPr>
        <w:t>edn. Jossey Bass.</w:t>
      </w:r>
    </w:p>
    <w:p w14:paraId="0A25BF8D" w14:textId="77777777" w:rsidR="00AB2711" w:rsidRDefault="00774346" w:rsidP="00AB2711">
      <w:pPr>
        <w:rPr>
          <w:color w:val="000000" w:themeColor="text1"/>
        </w:rPr>
      </w:pPr>
      <w:r w:rsidRPr="00774346">
        <w:rPr>
          <w:color w:val="000000" w:themeColor="text1"/>
        </w:rPr>
        <w:t xml:space="preserve">Ahmad, F., Smylie, J., </w:t>
      </w:r>
      <w:proofErr w:type="spellStart"/>
      <w:r w:rsidRPr="00774346">
        <w:rPr>
          <w:color w:val="000000" w:themeColor="text1"/>
        </w:rPr>
        <w:t>Omand</w:t>
      </w:r>
      <w:proofErr w:type="spellEnd"/>
      <w:r w:rsidRPr="00774346">
        <w:rPr>
          <w:color w:val="000000" w:themeColor="text1"/>
        </w:rPr>
        <w:t xml:space="preserve">, M., </w:t>
      </w:r>
      <w:proofErr w:type="spellStart"/>
      <w:r w:rsidRPr="00774346">
        <w:rPr>
          <w:color w:val="000000" w:themeColor="text1"/>
        </w:rPr>
        <w:t>Cyriac</w:t>
      </w:r>
      <w:proofErr w:type="spellEnd"/>
      <w:r w:rsidRPr="00774346">
        <w:rPr>
          <w:color w:val="000000" w:themeColor="text1"/>
        </w:rPr>
        <w:t xml:space="preserve">, A. and Campo, P.O. (2017) ‘South Asian men and </w:t>
      </w:r>
      <w:r>
        <w:rPr>
          <w:color w:val="000000" w:themeColor="text1"/>
        </w:rPr>
        <w:tab/>
      </w:r>
      <w:r w:rsidRPr="00774346">
        <w:rPr>
          <w:color w:val="000000" w:themeColor="text1"/>
        </w:rPr>
        <w:t xml:space="preserve">women and conceptions of partner violence.’, </w:t>
      </w:r>
      <w:r w:rsidRPr="00774346">
        <w:rPr>
          <w:i/>
          <w:color w:val="000000" w:themeColor="text1"/>
        </w:rPr>
        <w:t>Journal of Minority Health</w:t>
      </w:r>
      <w:r w:rsidRPr="00774346">
        <w:rPr>
          <w:iCs/>
          <w:color w:val="000000" w:themeColor="text1"/>
        </w:rPr>
        <w:t>, 19,</w:t>
      </w:r>
      <w:r w:rsidRPr="00774346">
        <w:rPr>
          <w:i/>
          <w:color w:val="000000" w:themeColor="text1"/>
        </w:rPr>
        <w:t xml:space="preserve"> </w:t>
      </w:r>
      <w:r w:rsidRPr="00774346">
        <w:rPr>
          <w:iCs/>
          <w:color w:val="000000" w:themeColor="text1"/>
        </w:rPr>
        <w:t>pp.</w:t>
      </w:r>
      <w:r w:rsidRPr="00774346">
        <w:rPr>
          <w:color w:val="000000" w:themeColor="text1"/>
        </w:rPr>
        <w:t>57-</w:t>
      </w:r>
    </w:p>
    <w:p w14:paraId="113F8B5D" w14:textId="3805E879" w:rsidR="00774346" w:rsidRPr="00774346" w:rsidRDefault="00774346" w:rsidP="00AB2711">
      <w:pPr>
        <w:ind w:firstLine="720"/>
        <w:rPr>
          <w:color w:val="000000" w:themeColor="text1"/>
        </w:rPr>
      </w:pPr>
      <w:r w:rsidRPr="00774346">
        <w:rPr>
          <w:color w:val="000000" w:themeColor="text1"/>
        </w:rPr>
        <w:t xml:space="preserve">66. </w:t>
      </w:r>
      <w:r w:rsidR="00AB2711" w:rsidRPr="00AB2711">
        <w:rPr>
          <w:color w:val="000000" w:themeColor="text1"/>
        </w:rPr>
        <w:t> </w:t>
      </w:r>
      <w:proofErr w:type="spellStart"/>
      <w:r w:rsidR="00AB2711" w:rsidRPr="00AB2711">
        <w:rPr>
          <w:color w:val="000000" w:themeColor="text1"/>
        </w:rPr>
        <w:t>doi</w:t>
      </w:r>
      <w:proofErr w:type="spellEnd"/>
      <w:r w:rsidR="00AB2711" w:rsidRPr="00AB2711">
        <w:rPr>
          <w:color w:val="000000" w:themeColor="text1"/>
        </w:rPr>
        <w:t>: </w:t>
      </w:r>
      <w:hyperlink r:id="rId12" w:tgtFrame="_blank" w:history="1">
        <w:r w:rsidR="00AB2711" w:rsidRPr="00AB2711">
          <w:rPr>
            <w:rStyle w:val="Hyperlink"/>
            <w:color w:val="auto"/>
            <w:u w:val="none"/>
          </w:rPr>
          <w:t>10.1007/s10903-015-0301-2</w:t>
        </w:r>
      </w:hyperlink>
    </w:p>
    <w:p w14:paraId="4DD21AC4" w14:textId="37B4DD5E" w:rsidR="00774346" w:rsidRPr="00774346" w:rsidRDefault="00774346" w:rsidP="00774346">
      <w:pPr>
        <w:rPr>
          <w:color w:val="000000" w:themeColor="text1"/>
        </w:rPr>
      </w:pPr>
      <w:r w:rsidRPr="00774346">
        <w:rPr>
          <w:color w:val="000000" w:themeColor="text1"/>
        </w:rPr>
        <w:t xml:space="preserve">Ahmad, F., Riaz, S., </w:t>
      </w:r>
      <w:proofErr w:type="spellStart"/>
      <w:r w:rsidRPr="00774346">
        <w:rPr>
          <w:color w:val="000000" w:themeColor="text1"/>
        </w:rPr>
        <w:t>Barata</w:t>
      </w:r>
      <w:proofErr w:type="spellEnd"/>
      <w:r w:rsidRPr="00774346">
        <w:rPr>
          <w:color w:val="000000" w:themeColor="text1"/>
        </w:rPr>
        <w:t xml:space="preserve">, P. and Stewart, D. E. (2004) ‘Patriarchal beliefs and perceptions of </w:t>
      </w:r>
      <w:r>
        <w:rPr>
          <w:color w:val="000000" w:themeColor="text1"/>
        </w:rPr>
        <w:tab/>
      </w:r>
      <w:r w:rsidRPr="00774346">
        <w:rPr>
          <w:color w:val="000000" w:themeColor="text1"/>
        </w:rPr>
        <w:t xml:space="preserve">abuse among South Asian immigrant women.’, </w:t>
      </w:r>
      <w:r w:rsidRPr="00774346">
        <w:rPr>
          <w:i/>
          <w:iCs/>
          <w:color w:val="000000" w:themeColor="text1"/>
        </w:rPr>
        <w:t>Violence Against Women</w:t>
      </w:r>
      <w:r w:rsidRPr="00774346">
        <w:rPr>
          <w:color w:val="000000" w:themeColor="text1"/>
        </w:rPr>
        <w:t>, 10(3), pp.262-</w:t>
      </w:r>
      <w:r>
        <w:rPr>
          <w:color w:val="000000" w:themeColor="text1"/>
        </w:rPr>
        <w:tab/>
      </w:r>
      <w:r w:rsidRPr="00774346">
        <w:rPr>
          <w:color w:val="000000" w:themeColor="text1"/>
        </w:rPr>
        <w:t xml:space="preserve">282. </w:t>
      </w:r>
      <w:hyperlink r:id="rId13" w:history="1">
        <w:r w:rsidRPr="00121043">
          <w:rPr>
            <w:rStyle w:val="Hyperlink"/>
            <w:color w:val="auto"/>
            <w:u w:val="none"/>
          </w:rPr>
          <w:t>https://doi.org/10.1177/1077801203256000</w:t>
        </w:r>
      </w:hyperlink>
      <w:r w:rsidRPr="00121043">
        <w:t xml:space="preserve"> </w:t>
      </w:r>
    </w:p>
    <w:p w14:paraId="1059C2F3" w14:textId="6DBB8024" w:rsidR="00774346" w:rsidRPr="00774346" w:rsidRDefault="00774346" w:rsidP="00774346">
      <w:pPr>
        <w:rPr>
          <w:color w:val="000000" w:themeColor="text1"/>
        </w:rPr>
      </w:pPr>
      <w:proofErr w:type="spellStart"/>
      <w:r w:rsidRPr="00774346">
        <w:rPr>
          <w:color w:val="000000" w:themeColor="text1"/>
        </w:rPr>
        <w:t>Ahn</w:t>
      </w:r>
      <w:proofErr w:type="spellEnd"/>
      <w:r w:rsidRPr="00774346">
        <w:rPr>
          <w:color w:val="000000" w:themeColor="text1"/>
        </w:rPr>
        <w:t xml:space="preserve">, B. </w:t>
      </w:r>
      <w:r w:rsidR="00363E1A">
        <w:rPr>
          <w:color w:val="000000" w:themeColor="text1"/>
        </w:rPr>
        <w:t>(</w:t>
      </w:r>
      <w:r w:rsidRPr="00774346">
        <w:rPr>
          <w:color w:val="000000" w:themeColor="text1"/>
        </w:rPr>
        <w:t>2002</w:t>
      </w:r>
      <w:r w:rsidR="00363E1A">
        <w:rPr>
          <w:color w:val="000000" w:themeColor="text1"/>
        </w:rPr>
        <w:t>)</w:t>
      </w:r>
      <w:r w:rsidRPr="00774346">
        <w:rPr>
          <w:color w:val="000000" w:themeColor="text1"/>
        </w:rPr>
        <w:t xml:space="preserve"> </w:t>
      </w:r>
      <w:r w:rsidR="00066940">
        <w:rPr>
          <w:color w:val="000000" w:themeColor="text1"/>
        </w:rPr>
        <w:t>‘</w:t>
      </w:r>
      <w:r w:rsidRPr="00066940">
        <w:rPr>
          <w:color w:val="000000" w:themeColor="text1"/>
        </w:rPr>
        <w:t>The perceptions of and attitudes toward partner abuse among first-generation</w:t>
      </w:r>
      <w:r w:rsidRPr="00066940">
        <w:rPr>
          <w:color w:val="000000" w:themeColor="text1"/>
        </w:rPr>
        <w:tab/>
        <w:t>Korean-Americans</w:t>
      </w:r>
      <w:r w:rsidR="0006036C" w:rsidRPr="00066940">
        <w:rPr>
          <w:color w:val="000000" w:themeColor="text1"/>
        </w:rPr>
        <w:t xml:space="preserve">: </w:t>
      </w:r>
      <w:r w:rsidRPr="00066940">
        <w:rPr>
          <w:color w:val="000000" w:themeColor="text1"/>
        </w:rPr>
        <w:t>Their relationships to the incidence of partner abuse</w:t>
      </w:r>
      <w:r w:rsidR="00066940">
        <w:rPr>
          <w:color w:val="000000" w:themeColor="text1"/>
        </w:rPr>
        <w:t>’</w:t>
      </w:r>
      <w:r w:rsidRPr="00066940">
        <w:rPr>
          <w:color w:val="000000" w:themeColor="text1"/>
        </w:rPr>
        <w:t>.</w:t>
      </w:r>
      <w:r w:rsidRPr="00774346">
        <w:rPr>
          <w:color w:val="000000" w:themeColor="text1"/>
        </w:rPr>
        <w:t xml:space="preserve"> Ph.D. </w:t>
      </w:r>
      <w:r w:rsidRPr="00774346">
        <w:rPr>
          <w:color w:val="000000" w:themeColor="text1"/>
        </w:rPr>
        <w:tab/>
        <w:t>dissertation, Louisiana State University</w:t>
      </w:r>
      <w:r w:rsidR="00732C34">
        <w:rPr>
          <w:color w:val="000000" w:themeColor="text1"/>
        </w:rPr>
        <w:t>, Baton Rouge</w:t>
      </w:r>
    </w:p>
    <w:p w14:paraId="5E988D69" w14:textId="77777777" w:rsidR="00774346" w:rsidRPr="00774346" w:rsidRDefault="00774346" w:rsidP="00774346">
      <w:pPr>
        <w:rPr>
          <w:color w:val="000000" w:themeColor="text1"/>
        </w:rPr>
      </w:pPr>
      <w:r w:rsidRPr="00774346">
        <w:rPr>
          <w:color w:val="000000" w:themeColor="text1"/>
        </w:rPr>
        <w:t xml:space="preserve">Agha, E. and Rai, A. (2020) ‘Notes from the field: Culturally adapted research methods for </w:t>
      </w:r>
      <w:r w:rsidRPr="00774346">
        <w:rPr>
          <w:color w:val="000000" w:themeColor="text1"/>
        </w:rPr>
        <w:tab/>
        <w:t xml:space="preserve">South Asian participants.’, </w:t>
      </w:r>
      <w:r w:rsidRPr="00774346">
        <w:rPr>
          <w:i/>
          <w:iCs/>
          <w:color w:val="000000" w:themeColor="text1"/>
        </w:rPr>
        <w:t xml:space="preserve">Professional Development: The International Journal of </w:t>
      </w:r>
      <w:r w:rsidRPr="00774346">
        <w:rPr>
          <w:i/>
          <w:iCs/>
          <w:color w:val="000000" w:themeColor="text1"/>
        </w:rPr>
        <w:tab/>
        <w:t>Continuing Social Work Education</w:t>
      </w:r>
      <w:r w:rsidRPr="00774346">
        <w:rPr>
          <w:color w:val="000000" w:themeColor="text1"/>
        </w:rPr>
        <w:t xml:space="preserve">, 23(1), pp.27-31. </w:t>
      </w:r>
      <w:r w:rsidRPr="00774346">
        <w:rPr>
          <w:color w:val="000000" w:themeColor="text1"/>
        </w:rPr>
        <w:tab/>
      </w:r>
      <w:hyperlink r:id="rId14" w:history="1">
        <w:r w:rsidRPr="00774346">
          <w:rPr>
            <w:rStyle w:val="Hyperlink"/>
            <w:color w:val="auto"/>
            <w:u w:val="none"/>
          </w:rPr>
          <w:t>http://www.profdevjournal.org/articles/231027.pdf</w:t>
        </w:r>
      </w:hyperlink>
    </w:p>
    <w:p w14:paraId="1D75EAA2" w14:textId="54F4D264" w:rsidR="00774346" w:rsidRPr="00774346" w:rsidRDefault="00774346" w:rsidP="00774346">
      <w:pPr>
        <w:rPr>
          <w:color w:val="000000" w:themeColor="text1"/>
        </w:rPr>
      </w:pPr>
      <w:r w:rsidRPr="00774346">
        <w:rPr>
          <w:color w:val="000000" w:themeColor="text1"/>
        </w:rPr>
        <w:t xml:space="preserve">Ahmad-Stout, F., Nath, S., Khoury, N. and Huang, H. (2021) ‘Experiences of </w:t>
      </w:r>
      <w:r w:rsidR="00364626">
        <w:rPr>
          <w:color w:val="000000" w:themeColor="text1"/>
        </w:rPr>
        <w:t>i</w:t>
      </w:r>
      <w:r w:rsidRPr="00774346">
        <w:rPr>
          <w:color w:val="000000" w:themeColor="text1"/>
        </w:rPr>
        <w:t xml:space="preserve">ntimate </w:t>
      </w:r>
      <w:r w:rsidR="00364626">
        <w:rPr>
          <w:color w:val="000000" w:themeColor="text1"/>
        </w:rPr>
        <w:t>p</w:t>
      </w:r>
      <w:r w:rsidRPr="00774346">
        <w:rPr>
          <w:color w:val="000000" w:themeColor="text1"/>
        </w:rPr>
        <w:t>artner</w:t>
      </w:r>
      <w:r w:rsidRPr="00774346">
        <w:rPr>
          <w:color w:val="000000" w:themeColor="text1"/>
        </w:rPr>
        <w:tab/>
      </w:r>
      <w:r w:rsidR="00364626">
        <w:rPr>
          <w:color w:val="000000" w:themeColor="text1"/>
        </w:rPr>
        <w:t>v</w:t>
      </w:r>
      <w:r w:rsidRPr="00774346">
        <w:rPr>
          <w:color w:val="000000" w:themeColor="text1"/>
        </w:rPr>
        <w:t xml:space="preserve">iolence: Findings </w:t>
      </w:r>
      <w:r w:rsidR="00364626">
        <w:rPr>
          <w:color w:val="000000" w:themeColor="text1"/>
        </w:rPr>
        <w:t>f</w:t>
      </w:r>
      <w:r w:rsidRPr="00774346">
        <w:rPr>
          <w:color w:val="000000" w:themeColor="text1"/>
        </w:rPr>
        <w:t xml:space="preserve">rom </w:t>
      </w:r>
      <w:r w:rsidR="00364626">
        <w:rPr>
          <w:color w:val="000000" w:themeColor="text1"/>
        </w:rPr>
        <w:t>i</w:t>
      </w:r>
      <w:r w:rsidRPr="00774346">
        <w:rPr>
          <w:color w:val="000000" w:themeColor="text1"/>
        </w:rPr>
        <w:t xml:space="preserve">nterviews </w:t>
      </w:r>
      <w:r w:rsidR="00364626">
        <w:rPr>
          <w:color w:val="000000" w:themeColor="text1"/>
        </w:rPr>
        <w:t>w</w:t>
      </w:r>
      <w:r w:rsidRPr="00774346">
        <w:rPr>
          <w:color w:val="000000" w:themeColor="text1"/>
        </w:rPr>
        <w:t xml:space="preserve">ith South Asian </w:t>
      </w:r>
      <w:r w:rsidR="00364626">
        <w:rPr>
          <w:color w:val="000000" w:themeColor="text1"/>
        </w:rPr>
        <w:t>w</w:t>
      </w:r>
      <w:r w:rsidRPr="00774346">
        <w:rPr>
          <w:color w:val="000000" w:themeColor="text1"/>
        </w:rPr>
        <w:t>omen in the United States.’,</w:t>
      </w:r>
      <w:r w:rsidRPr="00774346">
        <w:rPr>
          <w:color w:val="000000" w:themeColor="text1"/>
        </w:rPr>
        <w:tab/>
      </w:r>
      <w:r w:rsidRPr="00774346">
        <w:rPr>
          <w:i/>
          <w:iCs/>
          <w:color w:val="000000" w:themeColor="text1"/>
        </w:rPr>
        <w:t>Journal of Interpersonal Violence</w:t>
      </w:r>
      <w:r w:rsidRPr="00774346">
        <w:rPr>
          <w:color w:val="000000" w:themeColor="text1"/>
        </w:rPr>
        <w:t>, 36(3-4), pp.NP1941–1964NP.</w:t>
      </w:r>
      <w:r w:rsidRPr="00774346">
        <w:rPr>
          <w:color w:val="000000" w:themeColor="text1"/>
        </w:rPr>
        <w:tab/>
      </w:r>
      <w:hyperlink r:id="rId15" w:history="1">
        <w:r w:rsidRPr="00774346">
          <w:rPr>
            <w:rStyle w:val="Hyperlink"/>
            <w:color w:val="auto"/>
            <w:u w:val="none"/>
          </w:rPr>
          <w:t>https://doi.org/10.1177/0886260517753850</w:t>
        </w:r>
      </w:hyperlink>
    </w:p>
    <w:p w14:paraId="333B66F6" w14:textId="77777777" w:rsidR="009A2078" w:rsidRPr="009A2078" w:rsidRDefault="00774346" w:rsidP="00774346">
      <w:proofErr w:type="spellStart"/>
      <w:r w:rsidRPr="00774346">
        <w:rPr>
          <w:color w:val="000000" w:themeColor="text1"/>
        </w:rPr>
        <w:t>Balgamwalla</w:t>
      </w:r>
      <w:proofErr w:type="spellEnd"/>
      <w:r w:rsidRPr="00774346">
        <w:rPr>
          <w:color w:val="000000" w:themeColor="text1"/>
        </w:rPr>
        <w:t xml:space="preserve">, S. (2013) </w:t>
      </w:r>
      <w:r w:rsidRPr="00774346">
        <w:rPr>
          <w:i/>
          <w:iCs/>
          <w:color w:val="000000" w:themeColor="text1"/>
        </w:rPr>
        <w:t xml:space="preserve">A woman’s place: Dependent spouse visa holders and the legacy of </w:t>
      </w:r>
      <w:r w:rsidRPr="00774346">
        <w:rPr>
          <w:i/>
          <w:iCs/>
          <w:color w:val="000000" w:themeColor="text1"/>
        </w:rPr>
        <w:tab/>
        <w:t>coverture.</w:t>
      </w:r>
      <w:r w:rsidRPr="00774346">
        <w:rPr>
          <w:color w:val="000000" w:themeColor="text1"/>
        </w:rPr>
        <w:t xml:space="preserve"> Available at:</w:t>
      </w:r>
      <w:r w:rsidRPr="00774346">
        <w:rPr>
          <w:color w:val="000000" w:themeColor="text1"/>
        </w:rPr>
        <w:tab/>
      </w:r>
      <w:hyperlink r:id="rId16" w:history="1">
        <w:r w:rsidRPr="00774346">
          <w:rPr>
            <w:rStyle w:val="Hyperlink"/>
            <w:color w:val="auto"/>
            <w:u w:val="none"/>
          </w:rPr>
          <w:t>https://law.ubalt.edu/centers/caf/pdf/Sabrina%20Balgamwalla.pdf</w:t>
        </w:r>
      </w:hyperlink>
      <w:r w:rsidRPr="00774346">
        <w:t xml:space="preserve"> </w:t>
      </w:r>
      <w:bookmarkStart w:id="0" w:name="_Hlk87338362"/>
      <w:r w:rsidR="009A2078" w:rsidRPr="009A2078">
        <w:t>(</w:t>
      </w:r>
      <w:r w:rsidRPr="009A2078">
        <w:t>Access</w:t>
      </w:r>
      <w:r w:rsidR="009A2078" w:rsidRPr="009A2078">
        <w:t xml:space="preserve">ed: 7 March </w:t>
      </w:r>
    </w:p>
    <w:p w14:paraId="4FB71B7F" w14:textId="641C782E" w:rsidR="00774346" w:rsidRPr="009A2078" w:rsidRDefault="009A2078" w:rsidP="009A2078">
      <w:pPr>
        <w:ind w:firstLine="720"/>
      </w:pPr>
      <w:r w:rsidRPr="009A2078">
        <w:t>2021)</w:t>
      </w:r>
    </w:p>
    <w:bookmarkEnd w:id="0"/>
    <w:p w14:paraId="3EA6BE63" w14:textId="77777777" w:rsidR="00774346" w:rsidRPr="00774346" w:rsidRDefault="00774346" w:rsidP="00774346">
      <w:r w:rsidRPr="00774346">
        <w:rPr>
          <w:color w:val="000000" w:themeColor="text1"/>
        </w:rPr>
        <w:t xml:space="preserve">Bhandari, S. (2018) ‘South Asian women's coping strategies in the face of domestic violence in </w:t>
      </w:r>
      <w:r w:rsidRPr="00774346">
        <w:rPr>
          <w:color w:val="000000" w:themeColor="text1"/>
        </w:rPr>
        <w:tab/>
        <w:t>the United States.’, </w:t>
      </w:r>
      <w:r w:rsidRPr="00774346">
        <w:rPr>
          <w:i/>
          <w:iCs/>
          <w:color w:val="000000" w:themeColor="text1"/>
        </w:rPr>
        <w:t>Health Care for Women International</w:t>
      </w:r>
      <w:r w:rsidRPr="00774346">
        <w:rPr>
          <w:color w:val="000000" w:themeColor="text1"/>
        </w:rPr>
        <w:t>,</w:t>
      </w:r>
      <w:r w:rsidRPr="00774346">
        <w:rPr>
          <w:i/>
          <w:iCs/>
          <w:color w:val="000000" w:themeColor="text1"/>
        </w:rPr>
        <w:t> </w:t>
      </w:r>
      <w:r w:rsidRPr="00774346">
        <w:rPr>
          <w:color w:val="000000" w:themeColor="text1"/>
        </w:rPr>
        <w:t xml:space="preserve">39(2), pp.220-242. </w:t>
      </w:r>
      <w:proofErr w:type="spellStart"/>
      <w:r w:rsidRPr="00774346">
        <w:rPr>
          <w:color w:val="000000" w:themeColor="text1"/>
        </w:rPr>
        <w:t>doi</w:t>
      </w:r>
      <w:proofErr w:type="spellEnd"/>
      <w:r w:rsidRPr="00774346">
        <w:rPr>
          <w:color w:val="000000" w:themeColor="text1"/>
        </w:rPr>
        <w:t xml:space="preserve">: </w:t>
      </w:r>
      <w:r w:rsidRPr="00774346">
        <w:rPr>
          <w:color w:val="000000" w:themeColor="text1"/>
        </w:rPr>
        <w:tab/>
      </w:r>
      <w:hyperlink r:id="rId17" w:history="1">
        <w:r w:rsidRPr="00774346">
          <w:rPr>
            <w:rStyle w:val="Hyperlink"/>
            <w:color w:val="auto"/>
            <w:u w:val="none"/>
          </w:rPr>
          <w:t>10.1080/07399332.2017.1385615</w:t>
        </w:r>
      </w:hyperlink>
    </w:p>
    <w:p w14:paraId="1DE2C158" w14:textId="77777777" w:rsidR="00774346" w:rsidRPr="00774346" w:rsidRDefault="00774346" w:rsidP="00774346">
      <w:pPr>
        <w:rPr>
          <w:color w:val="000000" w:themeColor="text1"/>
        </w:rPr>
      </w:pPr>
      <w:r w:rsidRPr="00774346">
        <w:rPr>
          <w:color w:val="000000" w:themeColor="text1"/>
        </w:rPr>
        <w:t xml:space="preserve">Bhandari, S. and Hughes, J. C. (2017) ‘Lived experiences of women facing domestic violence in </w:t>
      </w:r>
      <w:r w:rsidRPr="00774346">
        <w:rPr>
          <w:color w:val="000000" w:themeColor="text1"/>
        </w:rPr>
        <w:tab/>
        <w:t>India.’, </w:t>
      </w:r>
      <w:r w:rsidRPr="00774346">
        <w:rPr>
          <w:i/>
          <w:iCs/>
          <w:color w:val="000000" w:themeColor="text1"/>
        </w:rPr>
        <w:t>Journal of Social Work in the Global Community</w:t>
      </w:r>
      <w:r w:rsidRPr="00774346">
        <w:rPr>
          <w:color w:val="000000" w:themeColor="text1"/>
        </w:rPr>
        <w:t>,</w:t>
      </w:r>
      <w:r w:rsidRPr="00774346">
        <w:rPr>
          <w:i/>
          <w:iCs/>
          <w:color w:val="000000" w:themeColor="text1"/>
        </w:rPr>
        <w:t> </w:t>
      </w:r>
      <w:r w:rsidRPr="00774346">
        <w:rPr>
          <w:color w:val="000000" w:themeColor="text1"/>
        </w:rPr>
        <w:t xml:space="preserve">2(1), pp.13-27. </w:t>
      </w:r>
      <w:r w:rsidRPr="00774346">
        <w:rPr>
          <w:color w:val="000000" w:themeColor="text1"/>
        </w:rPr>
        <w:tab/>
      </w:r>
      <w:hyperlink r:id="rId18" w:history="1">
        <w:r w:rsidRPr="00774346">
          <w:rPr>
            <w:rStyle w:val="Hyperlink"/>
            <w:color w:val="auto"/>
            <w:u w:val="none"/>
          </w:rPr>
          <w:t>https://doi.org/10.5590/JSWGC.2017.02.1.02</w:t>
        </w:r>
      </w:hyperlink>
    </w:p>
    <w:p w14:paraId="18E2881E" w14:textId="77777777" w:rsidR="009A2078" w:rsidRDefault="00774346" w:rsidP="009A2078">
      <w:r w:rsidRPr="00774346">
        <w:rPr>
          <w:color w:val="000000" w:themeColor="text1"/>
        </w:rPr>
        <w:t>Black, M. C., Basile, K. C., Breiding, M. J., Smith, S. G., Walters, M. L., Merrick, M. T., Chen,</w:t>
      </w:r>
      <w:r w:rsidRPr="00774346">
        <w:rPr>
          <w:color w:val="000000" w:themeColor="text1"/>
        </w:rPr>
        <w:tab/>
        <w:t xml:space="preserve">J. and Stevens, M. R. (2011) </w:t>
      </w:r>
      <w:r w:rsidRPr="00774346">
        <w:rPr>
          <w:i/>
          <w:iCs/>
          <w:color w:val="000000" w:themeColor="text1"/>
        </w:rPr>
        <w:t>National intimate partner and sexual violence survey: 2010</w:t>
      </w:r>
      <w:r w:rsidRPr="00774346">
        <w:rPr>
          <w:i/>
          <w:iCs/>
          <w:color w:val="000000" w:themeColor="text1"/>
        </w:rPr>
        <w:tab/>
        <w:t xml:space="preserve">summary report. </w:t>
      </w:r>
      <w:r w:rsidRPr="00774346">
        <w:rPr>
          <w:color w:val="000000" w:themeColor="text1"/>
        </w:rPr>
        <w:t>Available at:</w:t>
      </w:r>
      <w:r w:rsidRPr="00774346">
        <w:rPr>
          <w:color w:val="000000" w:themeColor="text1"/>
        </w:rPr>
        <w:tab/>
      </w:r>
      <w:hyperlink r:id="rId19" w:history="1">
        <w:r w:rsidRPr="00774346">
          <w:rPr>
            <w:rStyle w:val="Hyperlink"/>
            <w:color w:val="auto"/>
            <w:u w:val="none"/>
          </w:rPr>
          <w:t>https://www.cdc.gov/violenceprevention/pdf/NISVS_Report2010-a.pdf</w:t>
        </w:r>
      </w:hyperlink>
      <w:r w:rsidRPr="00774346">
        <w:rPr>
          <w:color w:val="000000" w:themeColor="text1"/>
        </w:rPr>
        <w:t xml:space="preserve"> </w:t>
      </w:r>
      <w:r w:rsidR="009A2078" w:rsidRPr="009A2078">
        <w:t xml:space="preserve">(Accessed: 7 </w:t>
      </w:r>
    </w:p>
    <w:p w14:paraId="1F201D98" w14:textId="25E68E01" w:rsidR="00774346" w:rsidRPr="009A2078" w:rsidRDefault="009A2078" w:rsidP="009A2078">
      <w:pPr>
        <w:ind w:firstLine="720"/>
      </w:pPr>
      <w:proofErr w:type="gramStart"/>
      <w:r w:rsidRPr="009A2078">
        <w:t xml:space="preserve">March </w:t>
      </w:r>
      <w:r>
        <w:t xml:space="preserve"> </w:t>
      </w:r>
      <w:r w:rsidRPr="009A2078">
        <w:t>2021</w:t>
      </w:r>
      <w:proofErr w:type="gramEnd"/>
      <w:r w:rsidRPr="009A2078">
        <w:t>)</w:t>
      </w:r>
    </w:p>
    <w:p w14:paraId="2E1C14C8" w14:textId="7E3901A5" w:rsidR="00774346" w:rsidRPr="00774346" w:rsidRDefault="00774346" w:rsidP="00774346">
      <w:pPr>
        <w:rPr>
          <w:color w:val="000000" w:themeColor="text1"/>
        </w:rPr>
      </w:pPr>
      <w:r w:rsidRPr="00774346">
        <w:rPr>
          <w:color w:val="000000" w:themeColor="text1"/>
        </w:rPr>
        <w:t>Bland, J. M. and Altman, D. G. (1997) ‘Statistics notes: Cronbach's alpha.’, </w:t>
      </w:r>
      <w:r w:rsidRPr="00774346">
        <w:rPr>
          <w:i/>
          <w:iCs/>
          <w:color w:val="000000" w:themeColor="text1"/>
        </w:rPr>
        <w:t>B</w:t>
      </w:r>
      <w:r w:rsidR="00970DBE">
        <w:rPr>
          <w:i/>
          <w:iCs/>
          <w:color w:val="000000" w:themeColor="text1"/>
        </w:rPr>
        <w:t>MJ</w:t>
      </w:r>
      <w:r w:rsidRPr="00774346">
        <w:rPr>
          <w:color w:val="000000" w:themeColor="text1"/>
        </w:rPr>
        <w:t>, 314(572)</w:t>
      </w:r>
      <w:r w:rsidRPr="00774346">
        <w:rPr>
          <w:i/>
          <w:iCs/>
          <w:color w:val="000000" w:themeColor="text1"/>
        </w:rPr>
        <w:t xml:space="preserve">. </w:t>
      </w:r>
      <w:r w:rsidRPr="00774346">
        <w:rPr>
          <w:i/>
          <w:iCs/>
          <w:color w:val="000000" w:themeColor="text1"/>
        </w:rPr>
        <w:tab/>
      </w:r>
      <w:hyperlink r:id="rId20" w:history="1">
        <w:r w:rsidRPr="00774346">
          <w:rPr>
            <w:rStyle w:val="Hyperlink"/>
            <w:color w:val="auto"/>
            <w:u w:val="none"/>
          </w:rPr>
          <w:t>https://doi.org/10.1136/bmj.314.7080.572</w:t>
        </w:r>
      </w:hyperlink>
    </w:p>
    <w:p w14:paraId="3DDA0569" w14:textId="77777777" w:rsidR="003052EC" w:rsidRDefault="00774346" w:rsidP="003052EC">
      <w:r w:rsidRPr="00774346">
        <w:rPr>
          <w:color w:val="000000" w:themeColor="text1"/>
        </w:rPr>
        <w:t xml:space="preserve">Breiding, M.J., Basile, K.C., Smith, S.C., Black, M.C. and Mahendra, R.R. (2015) </w:t>
      </w:r>
      <w:r w:rsidRPr="00774346">
        <w:rPr>
          <w:i/>
          <w:iCs/>
          <w:color w:val="000000" w:themeColor="text1"/>
        </w:rPr>
        <w:t xml:space="preserve">Intimate </w:t>
      </w:r>
      <w:r w:rsidRPr="00774346">
        <w:rPr>
          <w:i/>
          <w:iCs/>
          <w:color w:val="000000" w:themeColor="text1"/>
        </w:rPr>
        <w:tab/>
      </w:r>
      <w:r w:rsidRPr="00774346">
        <w:rPr>
          <w:i/>
          <w:iCs/>
          <w:color w:val="000000" w:themeColor="text1"/>
        </w:rPr>
        <w:tab/>
        <w:t>partner violence surveillance: Uniform definitions and recommended data elements</w:t>
      </w:r>
      <w:r w:rsidRPr="00774346">
        <w:rPr>
          <w:i/>
          <w:iCs/>
          <w:color w:val="000000" w:themeColor="text1"/>
        </w:rPr>
        <w:tab/>
        <w:t>(Version 2.0).</w:t>
      </w:r>
      <w:r w:rsidRPr="00774346">
        <w:rPr>
          <w:color w:val="000000" w:themeColor="text1"/>
        </w:rPr>
        <w:t xml:space="preserve"> Available at:</w:t>
      </w:r>
      <w:r w:rsidRPr="00774346">
        <w:rPr>
          <w:color w:val="000000" w:themeColor="text1"/>
        </w:rPr>
        <w:tab/>
      </w:r>
      <w:hyperlink r:id="rId21" w:history="1">
        <w:r w:rsidRPr="00774346">
          <w:rPr>
            <w:rStyle w:val="Hyperlink"/>
            <w:color w:val="auto"/>
            <w:u w:val="none"/>
          </w:rPr>
          <w:t>https://www.cdc.gov/violenceprevention/pdf/ipv/intimatepartnerviolence.p</w:t>
        </w:r>
        <w:r w:rsidRPr="00774346">
          <w:rPr>
            <w:rStyle w:val="Hyperlink"/>
            <w:color w:val="auto"/>
            <w:u w:val="none"/>
          </w:rPr>
          <w:tab/>
          <w:t>df</w:t>
        </w:r>
      </w:hyperlink>
      <w:r w:rsidRPr="00774346">
        <w:rPr>
          <w:color w:val="000000" w:themeColor="text1"/>
        </w:rPr>
        <w:t xml:space="preserve"> </w:t>
      </w:r>
      <w:r w:rsidR="003052EC" w:rsidRPr="009A2078">
        <w:t xml:space="preserve">(Accessed: </w:t>
      </w:r>
    </w:p>
    <w:p w14:paraId="0C8A4B57" w14:textId="77777777" w:rsidR="00F2634E" w:rsidRDefault="003052EC" w:rsidP="00F2634E">
      <w:pPr>
        <w:ind w:firstLine="720"/>
      </w:pPr>
      <w:r w:rsidRPr="009A2078">
        <w:t>7 March</w:t>
      </w:r>
      <w:r w:rsidR="00F2634E">
        <w:t xml:space="preserve"> </w:t>
      </w:r>
      <w:r w:rsidRPr="009A2078">
        <w:t>2021)</w:t>
      </w:r>
    </w:p>
    <w:p w14:paraId="2B122CB4" w14:textId="6E995CCE" w:rsidR="00774346" w:rsidRPr="003052EC" w:rsidRDefault="00774346" w:rsidP="00F2634E">
      <w:r w:rsidRPr="00774346">
        <w:rPr>
          <w:color w:val="000000" w:themeColor="text1"/>
        </w:rPr>
        <w:lastRenderedPageBreak/>
        <w:t xml:space="preserve">Budiman, A. (2020) </w:t>
      </w:r>
      <w:r w:rsidRPr="00774346">
        <w:rPr>
          <w:i/>
          <w:iCs/>
          <w:color w:val="000000" w:themeColor="text1"/>
        </w:rPr>
        <w:t xml:space="preserve">Key findings about U.S. immigrants. </w:t>
      </w:r>
      <w:r w:rsidRPr="00774346">
        <w:rPr>
          <w:color w:val="000000" w:themeColor="text1"/>
        </w:rPr>
        <w:t>Available at:</w:t>
      </w:r>
      <w:r w:rsidRPr="00774346">
        <w:rPr>
          <w:color w:val="000000" w:themeColor="text1"/>
        </w:rPr>
        <w:tab/>
      </w:r>
      <w:hyperlink r:id="rId22" w:history="1">
        <w:r w:rsidRPr="00774346">
          <w:rPr>
            <w:rStyle w:val="Hyperlink"/>
            <w:color w:val="auto"/>
            <w:u w:val="none"/>
          </w:rPr>
          <w:t>https://www.pewresearch.org/fact-tank/2020/08/20/key-findings-about-u-s-immigrants/</w:t>
        </w:r>
      </w:hyperlink>
      <w:r w:rsidRPr="00774346">
        <w:t xml:space="preserve"> </w:t>
      </w:r>
      <w:r w:rsidRPr="00774346">
        <w:rPr>
          <w:color w:val="000000" w:themeColor="text1"/>
        </w:rPr>
        <w:tab/>
      </w:r>
      <w:r w:rsidR="003052EC" w:rsidRPr="009A2078">
        <w:t>(Accessed: 7 March 2021)</w:t>
      </w:r>
    </w:p>
    <w:p w14:paraId="0957711C" w14:textId="77777777" w:rsidR="00B75B59" w:rsidRDefault="00CC57F1" w:rsidP="00B75B59">
      <w:pPr>
        <w:rPr>
          <w:i/>
          <w:iCs/>
          <w:color w:val="000000"/>
          <w:highlight w:val="yellow"/>
        </w:rPr>
      </w:pPr>
      <w:r w:rsidRPr="00AE1344">
        <w:rPr>
          <w:color w:val="000000"/>
          <w:highlight w:val="yellow"/>
        </w:rPr>
        <w:t>Centers for Disease Control and Prevention (2014)</w:t>
      </w:r>
      <w:r w:rsidR="00774346">
        <w:rPr>
          <w:color w:val="000000"/>
          <w:highlight w:val="yellow"/>
        </w:rPr>
        <w:t xml:space="preserve"> </w:t>
      </w:r>
      <w:r w:rsidRPr="00774346">
        <w:rPr>
          <w:i/>
          <w:iCs/>
          <w:color w:val="000000"/>
          <w:highlight w:val="yellow"/>
        </w:rPr>
        <w:t xml:space="preserve">Prevalence and characteristics of sexual </w:t>
      </w:r>
    </w:p>
    <w:p w14:paraId="7FF37560" w14:textId="518C2AEC" w:rsidR="00774346" w:rsidRPr="00B75B59" w:rsidRDefault="00CC57F1" w:rsidP="00B75B59">
      <w:pPr>
        <w:ind w:left="720"/>
      </w:pPr>
      <w:r w:rsidRPr="00774346">
        <w:rPr>
          <w:i/>
          <w:iCs/>
          <w:color w:val="000000"/>
          <w:highlight w:val="yellow"/>
        </w:rPr>
        <w:t xml:space="preserve">violence, stalking, and intimate partner violence victimization – </w:t>
      </w:r>
      <w:r w:rsidR="00267B23">
        <w:rPr>
          <w:i/>
          <w:iCs/>
          <w:color w:val="000000"/>
          <w:highlight w:val="yellow"/>
        </w:rPr>
        <w:t>N</w:t>
      </w:r>
      <w:r w:rsidRPr="00774346">
        <w:rPr>
          <w:i/>
          <w:iCs/>
          <w:color w:val="000000"/>
          <w:highlight w:val="yellow"/>
        </w:rPr>
        <w:t>ational intimate partner and sexual violence survey, United States, 2011.</w:t>
      </w:r>
      <w:r w:rsidRPr="00AE1344">
        <w:rPr>
          <w:color w:val="000000"/>
          <w:highlight w:val="yellow"/>
        </w:rPr>
        <w:t xml:space="preserve"> </w:t>
      </w:r>
      <w:r w:rsidR="00774346">
        <w:t xml:space="preserve">Available at: </w:t>
      </w:r>
      <w:hyperlink r:id="rId23" w:history="1">
        <w:r w:rsidR="00774346" w:rsidRPr="00774346">
          <w:rPr>
            <w:rStyle w:val="Hyperlink"/>
            <w:color w:val="auto"/>
            <w:highlight w:val="yellow"/>
            <w:u w:val="none"/>
          </w:rPr>
          <w:t>https://www.cdc.gov/mmwr/pdf/ss/ss6308.pdf</w:t>
        </w:r>
      </w:hyperlink>
      <w:r w:rsidR="00774346" w:rsidRPr="00774346">
        <w:t xml:space="preserve"> </w:t>
      </w:r>
      <w:r w:rsidR="00B75B59" w:rsidRPr="009A2078">
        <w:t xml:space="preserve">(Accessed: </w:t>
      </w:r>
      <w:r w:rsidR="00B75B59">
        <w:t xml:space="preserve">1 November </w:t>
      </w:r>
      <w:r w:rsidR="00B75B59" w:rsidRPr="009A2078">
        <w:t>2021)</w:t>
      </w:r>
    </w:p>
    <w:p w14:paraId="3935EB2C" w14:textId="0DAA3214" w:rsidR="00366418" w:rsidRPr="0018400B" w:rsidRDefault="00366418" w:rsidP="00366418">
      <w:r w:rsidRPr="00F976D3">
        <w:t>Chandra, P. S., Satyanarayana, V. A.</w:t>
      </w:r>
      <w:r w:rsidR="00774346">
        <w:t xml:space="preserve"> and</w:t>
      </w:r>
      <w:r w:rsidRPr="00F976D3">
        <w:t xml:space="preserve"> Carey, M. P. (2009)</w:t>
      </w:r>
      <w:r w:rsidR="00774346">
        <w:t xml:space="preserve"> ‘</w:t>
      </w:r>
      <w:r w:rsidRPr="00F976D3">
        <w:t>Women reporting intimate partner</w:t>
      </w:r>
      <w:r w:rsidRPr="0018400B">
        <w:tab/>
      </w:r>
      <w:r w:rsidRPr="00F976D3">
        <w:t>violence in India: associations with PTSD and depressive symptoms.</w:t>
      </w:r>
      <w:r w:rsidR="00774346">
        <w:t>’,</w:t>
      </w:r>
      <w:r w:rsidRPr="00F976D3">
        <w:t xml:space="preserve"> </w:t>
      </w:r>
      <w:r w:rsidRPr="00F976D3">
        <w:rPr>
          <w:i/>
          <w:iCs/>
        </w:rPr>
        <w:t>Archives of</w:t>
      </w:r>
      <w:r w:rsidRPr="0018400B">
        <w:rPr>
          <w:i/>
          <w:iCs/>
        </w:rPr>
        <w:tab/>
      </w:r>
      <w:r w:rsidR="00267B23">
        <w:rPr>
          <w:i/>
          <w:iCs/>
        </w:rPr>
        <w:t>W</w:t>
      </w:r>
      <w:r w:rsidRPr="00F976D3">
        <w:rPr>
          <w:i/>
          <w:iCs/>
        </w:rPr>
        <w:t xml:space="preserve">omen's </w:t>
      </w:r>
      <w:r w:rsidR="00267B23">
        <w:rPr>
          <w:i/>
          <w:iCs/>
        </w:rPr>
        <w:t>M</w:t>
      </w:r>
      <w:r w:rsidRPr="00F976D3">
        <w:rPr>
          <w:i/>
          <w:iCs/>
        </w:rPr>
        <w:t xml:space="preserve">ental </w:t>
      </w:r>
      <w:r w:rsidR="00267B23">
        <w:rPr>
          <w:i/>
          <w:iCs/>
        </w:rPr>
        <w:t>H</w:t>
      </w:r>
      <w:r w:rsidRPr="00F976D3">
        <w:rPr>
          <w:i/>
          <w:iCs/>
        </w:rPr>
        <w:t>ealth</w:t>
      </w:r>
      <w:r w:rsidRPr="00774346">
        <w:t>,</w:t>
      </w:r>
      <w:r w:rsidRPr="00F976D3">
        <w:t xml:space="preserve"> 12(4), </w:t>
      </w:r>
      <w:r w:rsidR="00774346">
        <w:t>pp.</w:t>
      </w:r>
      <w:r w:rsidRPr="00F976D3">
        <w:t xml:space="preserve">203–209. </w:t>
      </w:r>
      <w:hyperlink r:id="rId24" w:history="1">
        <w:r w:rsidRPr="00491A23">
          <w:rPr>
            <w:rStyle w:val="Hyperlink"/>
            <w:color w:val="000000" w:themeColor="text1"/>
            <w:u w:val="none"/>
          </w:rPr>
          <w:t>https://doi.org/10.1007/s00737-009-0065-6</w:t>
        </w:r>
      </w:hyperlink>
    </w:p>
    <w:p w14:paraId="648BBBFE" w14:textId="2C6D24A5" w:rsidR="00366418" w:rsidRDefault="00366418" w:rsidP="00366418">
      <w:r w:rsidRPr="00294354">
        <w:t xml:space="preserve">Child, D. (1990) </w:t>
      </w:r>
      <w:r w:rsidRPr="00294354">
        <w:rPr>
          <w:i/>
          <w:iCs/>
        </w:rPr>
        <w:t>The essentials of factor analysis</w:t>
      </w:r>
      <w:r w:rsidR="00774346">
        <w:t xml:space="preserve">. </w:t>
      </w:r>
      <w:r w:rsidRPr="0018400B">
        <w:t>2</w:t>
      </w:r>
      <w:r w:rsidR="00774346">
        <w:rPr>
          <w:vertAlign w:val="superscript"/>
        </w:rPr>
        <w:t>nd</w:t>
      </w:r>
      <w:r w:rsidRPr="0018400B">
        <w:t>ed</w:t>
      </w:r>
      <w:r w:rsidR="00774346">
        <w:t>n</w:t>
      </w:r>
      <w:r w:rsidRPr="00294354">
        <w:t>. Cassell Educational.</w:t>
      </w:r>
    </w:p>
    <w:p w14:paraId="193675D4" w14:textId="3D784C04" w:rsidR="00B808B0" w:rsidRDefault="00B808B0" w:rsidP="00B808B0">
      <w:proofErr w:type="spellStart"/>
      <w:r w:rsidRPr="00B808B0">
        <w:rPr>
          <w:highlight w:val="yellow"/>
        </w:rPr>
        <w:t>Dobrovol’skij</w:t>
      </w:r>
      <w:proofErr w:type="spellEnd"/>
      <w:r w:rsidRPr="00B808B0">
        <w:rPr>
          <w:highlight w:val="yellow"/>
        </w:rPr>
        <w:t xml:space="preserve">, D. (2011) </w:t>
      </w:r>
      <w:r w:rsidR="00774346">
        <w:rPr>
          <w:highlight w:val="yellow"/>
        </w:rPr>
        <w:t>‘</w:t>
      </w:r>
      <w:r w:rsidRPr="00B808B0">
        <w:rPr>
          <w:highlight w:val="yellow"/>
        </w:rPr>
        <w:t>Cross-linguistic equivalence of idioms: does it really exist.</w:t>
      </w:r>
      <w:r w:rsidR="00774346">
        <w:rPr>
          <w:highlight w:val="yellow"/>
        </w:rPr>
        <w:t>’,</w:t>
      </w:r>
      <w:r w:rsidRPr="00B808B0">
        <w:rPr>
          <w:highlight w:val="yellow"/>
        </w:rPr>
        <w:t> </w:t>
      </w:r>
      <w:r w:rsidRPr="00B808B0">
        <w:rPr>
          <w:i/>
          <w:iCs/>
          <w:highlight w:val="yellow"/>
        </w:rPr>
        <w:t>Linguo-</w:t>
      </w:r>
      <w:r w:rsidRPr="00B808B0">
        <w:rPr>
          <w:i/>
          <w:iCs/>
          <w:highlight w:val="yellow"/>
        </w:rPr>
        <w:tab/>
        <w:t>cultural competence and phraseological motivation</w:t>
      </w:r>
      <w:r w:rsidRPr="00B808B0">
        <w:rPr>
          <w:highlight w:val="yellow"/>
        </w:rPr>
        <w:t xml:space="preserve">, </w:t>
      </w:r>
      <w:r w:rsidR="00774346">
        <w:rPr>
          <w:highlight w:val="yellow"/>
        </w:rPr>
        <w:t>pp.</w:t>
      </w:r>
      <w:r w:rsidRPr="00B808B0">
        <w:rPr>
          <w:highlight w:val="yellow"/>
        </w:rPr>
        <w:t xml:space="preserve">7-24. </w:t>
      </w:r>
      <w:r w:rsidRPr="00B808B0">
        <w:rPr>
          <w:highlight w:val="yellow"/>
        </w:rPr>
        <w:tab/>
      </w:r>
    </w:p>
    <w:p w14:paraId="5FB7E446" w14:textId="7B2414EF" w:rsidR="00366418" w:rsidRPr="0018400B" w:rsidRDefault="00366418" w:rsidP="00366418">
      <w:r w:rsidRPr="00294354">
        <w:t>Engel, R.J.</w:t>
      </w:r>
      <w:r w:rsidR="00774346">
        <w:t xml:space="preserve"> and</w:t>
      </w:r>
      <w:r w:rsidRPr="00294354">
        <w:t xml:space="preserve"> Schutt, R.K. (2013) </w:t>
      </w:r>
      <w:r w:rsidRPr="00294354">
        <w:rPr>
          <w:i/>
          <w:iCs/>
        </w:rPr>
        <w:t>The practice of research in social work</w:t>
      </w:r>
      <w:r w:rsidR="00774346">
        <w:rPr>
          <w:i/>
          <w:iCs/>
        </w:rPr>
        <w:t>.</w:t>
      </w:r>
      <w:r w:rsidRPr="00294354">
        <w:t xml:space="preserve"> 3</w:t>
      </w:r>
      <w:r w:rsidR="00774346">
        <w:rPr>
          <w:vertAlign w:val="superscript"/>
        </w:rPr>
        <w:t>rd</w:t>
      </w:r>
      <w:r w:rsidR="00D06EAF">
        <w:rPr>
          <w:vertAlign w:val="superscript"/>
        </w:rPr>
        <w:t xml:space="preserve"> </w:t>
      </w:r>
      <w:proofErr w:type="spellStart"/>
      <w:r w:rsidR="00774346">
        <w:t>edn</w:t>
      </w:r>
      <w:proofErr w:type="spellEnd"/>
      <w:r w:rsidRPr="00294354">
        <w:t>. Sage</w:t>
      </w:r>
      <w:r w:rsidRPr="0018400B">
        <w:tab/>
      </w:r>
      <w:r w:rsidRPr="00294354">
        <w:t>Publications.</w:t>
      </w:r>
    </w:p>
    <w:p w14:paraId="64A86703" w14:textId="77777777" w:rsidR="00B75B59" w:rsidRDefault="00366418" w:rsidP="00B75B59">
      <w:r w:rsidRPr="00F33138">
        <w:t>Futures Without Violence. (</w:t>
      </w:r>
      <w:proofErr w:type="gramStart"/>
      <w:r w:rsidR="00774346">
        <w:t>no</w:t>
      </w:r>
      <w:proofErr w:type="gramEnd"/>
      <w:r w:rsidR="00774346">
        <w:t xml:space="preserve"> date</w:t>
      </w:r>
      <w:r w:rsidRPr="00F33138">
        <w:t xml:space="preserve">) </w:t>
      </w:r>
      <w:r w:rsidRPr="00774346">
        <w:rPr>
          <w:i/>
          <w:iCs/>
        </w:rPr>
        <w:t xml:space="preserve">Forms of domestic violence that women experience: </w:t>
      </w:r>
      <w:r w:rsidR="00774346" w:rsidRPr="00774346">
        <w:rPr>
          <w:i/>
          <w:iCs/>
        </w:rPr>
        <w:tab/>
      </w:r>
      <w:r w:rsidRPr="00774346">
        <w:rPr>
          <w:i/>
          <w:iCs/>
        </w:rPr>
        <w:t>Immigrant</w:t>
      </w:r>
      <w:r w:rsidR="00774346" w:rsidRPr="00774346">
        <w:rPr>
          <w:i/>
          <w:iCs/>
        </w:rPr>
        <w:t xml:space="preserve"> </w:t>
      </w:r>
      <w:r w:rsidRPr="00774346">
        <w:rPr>
          <w:i/>
          <w:iCs/>
        </w:rPr>
        <w:t>women.</w:t>
      </w:r>
      <w:r w:rsidR="00774346">
        <w:rPr>
          <w:i/>
          <w:iCs/>
        </w:rPr>
        <w:t xml:space="preserve"> </w:t>
      </w:r>
      <w:r w:rsidR="00774346">
        <w:t>Available at:</w:t>
      </w:r>
      <w:r w:rsidRPr="00774346">
        <w:rPr>
          <w:i/>
          <w:iCs/>
        </w:rPr>
        <w:t xml:space="preserve"> </w:t>
      </w:r>
      <w:hyperlink r:id="rId25" w:history="1">
        <w:r w:rsidRPr="00F33138">
          <w:rPr>
            <w:rStyle w:val="Hyperlink"/>
            <w:color w:val="000000" w:themeColor="text1"/>
            <w:u w:val="none"/>
          </w:rPr>
          <w:t>https://s3.amazonaws.com/fwvcorp/wp-content/</w:t>
        </w:r>
        <w:r w:rsidRPr="00F33138">
          <w:rPr>
            <w:rStyle w:val="Hyperlink"/>
            <w:color w:val="000000" w:themeColor="text1"/>
            <w:u w:val="none"/>
          </w:rPr>
          <w:tab/>
          <w:t>uploads/20160121105935/Power-control-wheel-eng-4-w-description.pdf</w:t>
        </w:r>
      </w:hyperlink>
      <w:r w:rsidR="00774346">
        <w:rPr>
          <w:rStyle w:val="Hyperlink"/>
          <w:color w:val="000000" w:themeColor="text1"/>
          <w:u w:val="none"/>
        </w:rPr>
        <w:t xml:space="preserve"> </w:t>
      </w:r>
      <w:r w:rsidR="00B75B59" w:rsidRPr="009A2078">
        <w:t xml:space="preserve">(Accessed: 7 </w:t>
      </w:r>
    </w:p>
    <w:p w14:paraId="2CBD4BF0" w14:textId="2CB631FC" w:rsidR="00366418" w:rsidRPr="00B75B59" w:rsidRDefault="00B75B59" w:rsidP="00B75B59">
      <w:pPr>
        <w:ind w:firstLine="720"/>
      </w:pPr>
      <w:r w:rsidRPr="009A2078">
        <w:t>March 2021)</w:t>
      </w:r>
    </w:p>
    <w:p w14:paraId="75170F59" w14:textId="49AB6753" w:rsidR="00366418" w:rsidRDefault="00366418" w:rsidP="00366418">
      <w:pPr>
        <w:rPr>
          <w:rStyle w:val="Hyperlink"/>
          <w:color w:val="000000" w:themeColor="text1"/>
          <w:u w:val="none"/>
        </w:rPr>
      </w:pPr>
      <w:r w:rsidRPr="00FD1494">
        <w:t>Goel, R. (2005)</w:t>
      </w:r>
      <w:r w:rsidR="002825D0">
        <w:t xml:space="preserve"> ‘</w:t>
      </w:r>
      <w:r w:rsidRPr="00FD1494">
        <w:t xml:space="preserve">Sita’s </w:t>
      </w:r>
      <w:r w:rsidR="002825D0">
        <w:t>t</w:t>
      </w:r>
      <w:r w:rsidRPr="00FD1494">
        <w:t xml:space="preserve">rousseau: Restorative </w:t>
      </w:r>
      <w:r w:rsidR="002825D0">
        <w:t>j</w:t>
      </w:r>
      <w:r w:rsidRPr="00FD1494">
        <w:t xml:space="preserve">ustice, </w:t>
      </w:r>
      <w:r w:rsidR="002825D0">
        <w:t>d</w:t>
      </w:r>
      <w:r w:rsidRPr="00FD1494">
        <w:t xml:space="preserve">omestic </w:t>
      </w:r>
      <w:r w:rsidR="002825D0">
        <w:t>v</w:t>
      </w:r>
      <w:r w:rsidRPr="00FD1494">
        <w:t xml:space="preserve">iolence, and </w:t>
      </w:r>
      <w:r w:rsidR="00B81505">
        <w:t>S</w:t>
      </w:r>
      <w:r w:rsidRPr="00FD1494">
        <w:t xml:space="preserve">outh </w:t>
      </w:r>
      <w:r w:rsidR="00B81505">
        <w:t>A</w:t>
      </w:r>
      <w:r w:rsidRPr="00FD1494">
        <w:t>sian</w:t>
      </w:r>
      <w:r w:rsidRPr="0018400B">
        <w:tab/>
      </w:r>
      <w:r w:rsidR="002825D0">
        <w:t>c</w:t>
      </w:r>
      <w:r w:rsidRPr="00FD1494">
        <w:t>ulture.</w:t>
      </w:r>
      <w:r w:rsidR="002825D0">
        <w:t>’,</w:t>
      </w:r>
      <w:r w:rsidRPr="00FD1494">
        <w:t xml:space="preserve"> </w:t>
      </w:r>
      <w:r w:rsidRPr="00FD1494">
        <w:rPr>
          <w:i/>
          <w:iCs/>
        </w:rPr>
        <w:t>Violence Against Women</w:t>
      </w:r>
      <w:r w:rsidRPr="00FD1494">
        <w:t xml:space="preserve">, 11(5), </w:t>
      </w:r>
      <w:r w:rsidR="002825D0">
        <w:t>pp.</w:t>
      </w:r>
      <w:r w:rsidRPr="00FD1494">
        <w:t>639–665.</w:t>
      </w:r>
      <w:r w:rsidRPr="0018400B">
        <w:tab/>
      </w:r>
      <w:hyperlink r:id="rId26" w:history="1">
        <w:r w:rsidRPr="00F33138">
          <w:rPr>
            <w:rStyle w:val="Hyperlink"/>
            <w:color w:val="000000" w:themeColor="text1"/>
            <w:u w:val="none"/>
          </w:rPr>
          <w:t>https://doi.org/10.1177/1077801205274522</w:t>
        </w:r>
      </w:hyperlink>
    </w:p>
    <w:p w14:paraId="71CC5C59" w14:textId="67FF7223" w:rsidR="00A241BB" w:rsidRDefault="00A241BB" w:rsidP="00366418">
      <w:pPr>
        <w:rPr>
          <w:rStyle w:val="Hyperlink"/>
          <w:color w:val="000000" w:themeColor="text1"/>
          <w:u w:val="none"/>
        </w:rPr>
      </w:pPr>
      <w:r>
        <w:rPr>
          <w:rStyle w:val="Hyperlink"/>
          <w:color w:val="000000" w:themeColor="text1"/>
          <w:u w:val="none"/>
        </w:rPr>
        <w:t>Gov.uk</w:t>
      </w:r>
      <w:r w:rsidR="00EC5934">
        <w:rPr>
          <w:rStyle w:val="Hyperlink"/>
          <w:color w:val="000000" w:themeColor="text1"/>
          <w:u w:val="none"/>
        </w:rPr>
        <w:t>.</w:t>
      </w:r>
      <w:r>
        <w:rPr>
          <w:rStyle w:val="Hyperlink"/>
          <w:color w:val="000000" w:themeColor="text1"/>
          <w:u w:val="none"/>
        </w:rPr>
        <w:t xml:space="preserve"> (2021)</w:t>
      </w:r>
      <w:r w:rsidR="002825D0">
        <w:rPr>
          <w:rStyle w:val="Hyperlink"/>
          <w:color w:val="000000" w:themeColor="text1"/>
          <w:u w:val="none"/>
        </w:rPr>
        <w:t xml:space="preserve"> </w:t>
      </w:r>
      <w:r w:rsidRPr="002825D0">
        <w:rPr>
          <w:rStyle w:val="Hyperlink"/>
          <w:i/>
          <w:iCs/>
          <w:color w:val="000000" w:themeColor="text1"/>
          <w:u w:val="none"/>
        </w:rPr>
        <w:t>Domestic Abuse Act 2021: overarching factsheet.</w:t>
      </w:r>
      <w:r>
        <w:rPr>
          <w:rStyle w:val="Hyperlink"/>
          <w:color w:val="000000" w:themeColor="text1"/>
          <w:u w:val="none"/>
        </w:rPr>
        <w:t xml:space="preserve"> </w:t>
      </w:r>
      <w:r w:rsidR="002825D0">
        <w:rPr>
          <w:rStyle w:val="Hyperlink"/>
          <w:color w:val="000000" w:themeColor="text1"/>
          <w:u w:val="none"/>
        </w:rPr>
        <w:t>Available at:</w:t>
      </w:r>
    </w:p>
    <w:p w14:paraId="541C3387" w14:textId="343A98EA" w:rsidR="00A241BB" w:rsidRPr="002825D0" w:rsidRDefault="00A241BB" w:rsidP="00366418">
      <w:pPr>
        <w:rPr>
          <w:color w:val="000000" w:themeColor="text1"/>
        </w:rPr>
      </w:pPr>
      <w:r>
        <w:rPr>
          <w:rStyle w:val="Hyperlink"/>
          <w:color w:val="000000" w:themeColor="text1"/>
          <w:u w:val="none"/>
        </w:rPr>
        <w:tab/>
      </w:r>
      <w:hyperlink r:id="rId27" w:history="1">
        <w:r w:rsidR="00491A23" w:rsidRPr="00491A23">
          <w:rPr>
            <w:rStyle w:val="Hyperlink"/>
            <w:color w:val="000000" w:themeColor="text1"/>
            <w:u w:val="none"/>
          </w:rPr>
          <w:t>https://www.gov.uk/government/publications/domestic-abuse-bill-2020-</w:t>
        </w:r>
        <w:r w:rsidRPr="00491A23">
          <w:rPr>
            <w:rStyle w:val="Hyperlink"/>
            <w:color w:val="000000" w:themeColor="text1"/>
            <w:u w:val="none"/>
          </w:rPr>
          <w:tab/>
          <w:t>factsheets/domestic-abuse-bill-2020-overarching-factsheet</w:t>
        </w:r>
      </w:hyperlink>
      <w:r w:rsidR="002825D0">
        <w:rPr>
          <w:rStyle w:val="Hyperlink"/>
          <w:color w:val="000000" w:themeColor="text1"/>
          <w:u w:val="none"/>
        </w:rPr>
        <w:t xml:space="preserve"> </w:t>
      </w:r>
      <w:r w:rsidR="00955869" w:rsidRPr="00955869">
        <w:t>(Accessed 28 February 2021)</w:t>
      </w:r>
    </w:p>
    <w:p w14:paraId="7850C28D" w14:textId="3413EA62" w:rsidR="00AE2947" w:rsidRPr="002825D0" w:rsidRDefault="00366418" w:rsidP="00AE2947">
      <w:pPr>
        <w:rPr>
          <w:rStyle w:val="Hyperlink"/>
          <w:color w:val="auto"/>
          <w:u w:val="none"/>
        </w:rPr>
      </w:pPr>
      <w:r w:rsidRPr="00F33138">
        <w:t>Hurwitz, E.J.H., Gupta, J., Liu, R., Silverman, J.G.</w:t>
      </w:r>
      <w:r w:rsidR="002825D0">
        <w:t xml:space="preserve"> and </w:t>
      </w:r>
      <w:r w:rsidRPr="00F33138">
        <w:t xml:space="preserve">Raj, A. (2006) </w:t>
      </w:r>
      <w:r w:rsidR="002825D0">
        <w:t>‘</w:t>
      </w:r>
      <w:r w:rsidRPr="00F33138">
        <w:t xml:space="preserve">Intimate </w:t>
      </w:r>
      <w:r w:rsidR="00EC5934">
        <w:t>p</w:t>
      </w:r>
      <w:r w:rsidRPr="00F33138">
        <w:t xml:space="preserve">artner </w:t>
      </w:r>
      <w:r w:rsidR="00EC5934">
        <w:t>v</w:t>
      </w:r>
      <w:r w:rsidRPr="00F33138">
        <w:t>iolence</w:t>
      </w:r>
      <w:r w:rsidRPr="00F33138">
        <w:tab/>
      </w:r>
      <w:r w:rsidR="00EC5934">
        <w:t>a</w:t>
      </w:r>
      <w:r w:rsidRPr="00F33138">
        <w:t xml:space="preserve">ssociated </w:t>
      </w:r>
      <w:r w:rsidR="00EC5934">
        <w:t>w</w:t>
      </w:r>
      <w:r w:rsidRPr="00F33138">
        <w:t xml:space="preserve">ith </w:t>
      </w:r>
      <w:r w:rsidR="00EC5934">
        <w:t>p</w:t>
      </w:r>
      <w:r w:rsidRPr="00F33138">
        <w:t xml:space="preserve">oor </w:t>
      </w:r>
      <w:r w:rsidR="00EC5934">
        <w:t>h</w:t>
      </w:r>
      <w:r w:rsidRPr="00F33138">
        <w:t xml:space="preserve">ealth </w:t>
      </w:r>
      <w:r w:rsidR="00EC5934">
        <w:t>o</w:t>
      </w:r>
      <w:r w:rsidRPr="00F33138">
        <w:t xml:space="preserve">utcomes in U.S. South Asian </w:t>
      </w:r>
      <w:r w:rsidR="00EC5934">
        <w:t>w</w:t>
      </w:r>
      <w:r w:rsidRPr="00F33138">
        <w:t>omen.</w:t>
      </w:r>
      <w:r w:rsidR="002825D0">
        <w:t>’,</w:t>
      </w:r>
      <w:r w:rsidRPr="00F33138">
        <w:t xml:space="preserve"> </w:t>
      </w:r>
      <w:r w:rsidRPr="00F33138">
        <w:rPr>
          <w:i/>
          <w:iCs/>
        </w:rPr>
        <w:t>Journal of</w:t>
      </w:r>
      <w:r w:rsidRPr="00F33138">
        <w:rPr>
          <w:i/>
          <w:iCs/>
        </w:rPr>
        <w:tab/>
        <w:t>Immigrant and Minority Health</w:t>
      </w:r>
      <w:r w:rsidRPr="00F33138">
        <w:t xml:space="preserve">, 8, </w:t>
      </w:r>
      <w:r w:rsidR="002825D0">
        <w:t>pp.</w:t>
      </w:r>
      <w:r w:rsidRPr="00F33138">
        <w:t>251–261</w:t>
      </w:r>
      <w:r w:rsidR="002825D0">
        <w:t xml:space="preserve">. </w:t>
      </w:r>
      <w:hyperlink r:id="rId28" w:history="1">
        <w:r w:rsidR="002825D0" w:rsidRPr="002825D0">
          <w:rPr>
            <w:rStyle w:val="Hyperlink"/>
            <w:color w:val="auto"/>
            <w:u w:val="none"/>
          </w:rPr>
          <w:t>https://doi.org/10.1007/s10903-006-</w:t>
        </w:r>
        <w:r w:rsidR="002825D0" w:rsidRPr="002825D0">
          <w:rPr>
            <w:rStyle w:val="Hyperlink"/>
            <w:color w:val="auto"/>
            <w:u w:val="none"/>
          </w:rPr>
          <w:tab/>
          <w:t>9330-1</w:t>
        </w:r>
      </w:hyperlink>
    </w:p>
    <w:p w14:paraId="3E04DC52" w14:textId="4DE64709" w:rsidR="00B808B0" w:rsidRDefault="00AE2947" w:rsidP="00B808B0">
      <w:pPr>
        <w:rPr>
          <w:iCs/>
          <w:color w:val="000000" w:themeColor="text1"/>
        </w:rPr>
      </w:pPr>
      <w:proofErr w:type="spellStart"/>
      <w:r w:rsidRPr="00F5660D">
        <w:rPr>
          <w:iCs/>
          <w:color w:val="000000" w:themeColor="text1"/>
          <w:highlight w:val="yellow"/>
        </w:rPr>
        <w:t>Huslage</w:t>
      </w:r>
      <w:proofErr w:type="spellEnd"/>
      <w:r w:rsidRPr="00F5660D">
        <w:rPr>
          <w:iCs/>
          <w:color w:val="000000" w:themeColor="text1"/>
          <w:highlight w:val="yellow"/>
        </w:rPr>
        <w:t>, M., Rai, A.</w:t>
      </w:r>
      <w:r w:rsidR="002825D0">
        <w:rPr>
          <w:iCs/>
          <w:color w:val="000000" w:themeColor="text1"/>
          <w:highlight w:val="yellow"/>
        </w:rPr>
        <w:t xml:space="preserve"> and </w:t>
      </w:r>
      <w:r w:rsidRPr="00F5660D">
        <w:rPr>
          <w:iCs/>
          <w:color w:val="000000" w:themeColor="text1"/>
          <w:highlight w:val="yellow"/>
        </w:rPr>
        <w:t>Held, M.L.</w:t>
      </w:r>
      <w:r w:rsidR="002825D0">
        <w:rPr>
          <w:iCs/>
          <w:color w:val="000000" w:themeColor="text1"/>
          <w:highlight w:val="yellow"/>
        </w:rPr>
        <w:t xml:space="preserve"> (2021)</w:t>
      </w:r>
      <w:r w:rsidRPr="00F5660D">
        <w:rPr>
          <w:iCs/>
          <w:color w:val="000000" w:themeColor="text1"/>
          <w:highlight w:val="yellow"/>
        </w:rPr>
        <w:t xml:space="preserve"> </w:t>
      </w:r>
      <w:r w:rsidR="002825D0">
        <w:rPr>
          <w:iCs/>
          <w:color w:val="000000" w:themeColor="text1"/>
          <w:highlight w:val="yellow"/>
        </w:rPr>
        <w:t>‘</w:t>
      </w:r>
      <w:r w:rsidRPr="00F5660D">
        <w:rPr>
          <w:iCs/>
          <w:color w:val="000000" w:themeColor="text1"/>
          <w:highlight w:val="yellow"/>
        </w:rPr>
        <w:t xml:space="preserve">Building partnerships and trust: Research with </w:t>
      </w:r>
      <w:r w:rsidR="002825D0">
        <w:rPr>
          <w:iCs/>
          <w:color w:val="000000" w:themeColor="text1"/>
          <w:highlight w:val="yellow"/>
        </w:rPr>
        <w:tab/>
      </w:r>
      <w:r w:rsidRPr="00F5660D">
        <w:rPr>
          <w:iCs/>
          <w:color w:val="000000" w:themeColor="text1"/>
          <w:highlight w:val="yellow"/>
        </w:rPr>
        <w:t>vulnerable immigrant communities</w:t>
      </w:r>
      <w:r w:rsidR="00F5105E" w:rsidRPr="00F5660D">
        <w:rPr>
          <w:iCs/>
          <w:color w:val="000000" w:themeColor="text1"/>
          <w:highlight w:val="yellow"/>
        </w:rPr>
        <w:t>.</w:t>
      </w:r>
      <w:r w:rsidR="002825D0">
        <w:rPr>
          <w:iCs/>
          <w:color w:val="000000" w:themeColor="text1"/>
          <w:highlight w:val="yellow"/>
        </w:rPr>
        <w:t>’,</w:t>
      </w:r>
      <w:r w:rsidR="00F5105E" w:rsidRPr="00F5660D">
        <w:rPr>
          <w:iCs/>
          <w:color w:val="000000" w:themeColor="text1"/>
          <w:highlight w:val="yellow"/>
        </w:rPr>
        <w:t xml:space="preserve"> </w:t>
      </w:r>
      <w:r w:rsidRPr="00F5660D">
        <w:rPr>
          <w:i/>
          <w:color w:val="000000" w:themeColor="text1"/>
          <w:highlight w:val="yellow"/>
        </w:rPr>
        <w:t>Families in Society</w:t>
      </w:r>
      <w:r w:rsidR="002825D0" w:rsidRPr="002825D0">
        <w:rPr>
          <w:iCs/>
          <w:color w:val="000000" w:themeColor="text1"/>
        </w:rPr>
        <w:t>,</w:t>
      </w:r>
      <w:r w:rsidRPr="002825D0">
        <w:rPr>
          <w:iCs/>
          <w:color w:val="000000" w:themeColor="text1"/>
        </w:rPr>
        <w:t xml:space="preserve"> </w:t>
      </w:r>
      <w:r w:rsidR="00F5105E" w:rsidRPr="00F5660D">
        <w:rPr>
          <w:i/>
          <w:color w:val="000000" w:themeColor="text1"/>
        </w:rPr>
        <w:tab/>
      </w:r>
      <w:hyperlink r:id="rId29" w:history="1">
        <w:r w:rsidR="00F5105E" w:rsidRPr="002825D0">
          <w:rPr>
            <w:rStyle w:val="Hyperlink"/>
            <w:iCs/>
            <w:color w:val="000000" w:themeColor="text1"/>
            <w:highlight w:val="yellow"/>
            <w:u w:val="none"/>
          </w:rPr>
          <w:t>https://doi.org/10.1177/10443894211034776</w:t>
        </w:r>
      </w:hyperlink>
      <w:r w:rsidR="00F5105E" w:rsidRPr="00F5660D">
        <w:rPr>
          <w:i/>
          <w:color w:val="000000" w:themeColor="text1"/>
          <w:highlight w:val="yellow"/>
        </w:rPr>
        <w:t xml:space="preserve"> </w:t>
      </w:r>
    </w:p>
    <w:p w14:paraId="197373A6" w14:textId="14EB1FEE" w:rsidR="00B808B0" w:rsidRPr="00B808B0" w:rsidRDefault="00B808B0" w:rsidP="00B808B0">
      <w:pPr>
        <w:rPr>
          <w:highlight w:val="yellow"/>
        </w:rPr>
      </w:pPr>
      <w:proofErr w:type="spellStart"/>
      <w:r w:rsidRPr="00B808B0">
        <w:rPr>
          <w:highlight w:val="yellow"/>
        </w:rPr>
        <w:t>Kamla</w:t>
      </w:r>
      <w:proofErr w:type="spellEnd"/>
      <w:r w:rsidRPr="00B808B0">
        <w:rPr>
          <w:highlight w:val="yellow"/>
        </w:rPr>
        <w:t>, R.</w:t>
      </w:r>
      <w:r w:rsidR="002825D0">
        <w:rPr>
          <w:highlight w:val="yellow"/>
        </w:rPr>
        <w:t xml:space="preserve"> and</w:t>
      </w:r>
      <w:r w:rsidRPr="00B808B0">
        <w:rPr>
          <w:highlight w:val="yellow"/>
        </w:rPr>
        <w:t xml:space="preserve"> Komori, N. (2018) </w:t>
      </w:r>
      <w:r w:rsidR="002825D0">
        <w:rPr>
          <w:highlight w:val="yellow"/>
        </w:rPr>
        <w:t>‘</w:t>
      </w:r>
      <w:r w:rsidRPr="00B808B0">
        <w:rPr>
          <w:highlight w:val="yellow"/>
        </w:rPr>
        <w:t xml:space="preserve">Diagnosing the translation gap: The politics of translation and </w:t>
      </w:r>
    </w:p>
    <w:p w14:paraId="675B836F" w14:textId="15B2EEFC" w:rsidR="00B808B0" w:rsidRPr="00784179" w:rsidRDefault="00B808B0" w:rsidP="00B808B0">
      <w:pPr>
        <w:rPr>
          <w:iCs/>
        </w:rPr>
      </w:pPr>
      <w:r w:rsidRPr="00B808B0">
        <w:rPr>
          <w:highlight w:val="yellow"/>
        </w:rPr>
        <w:tab/>
        <w:t>the hidden contradiction in interdisciplinary accounting research.</w:t>
      </w:r>
      <w:r w:rsidR="002825D0">
        <w:rPr>
          <w:highlight w:val="yellow"/>
        </w:rPr>
        <w:t>’,</w:t>
      </w:r>
      <w:r w:rsidRPr="00B808B0">
        <w:rPr>
          <w:highlight w:val="yellow"/>
        </w:rPr>
        <w:t xml:space="preserve"> </w:t>
      </w:r>
      <w:r w:rsidRPr="00B808B0">
        <w:rPr>
          <w:i/>
          <w:iCs/>
          <w:highlight w:val="yellow"/>
        </w:rPr>
        <w:t xml:space="preserve">Accounting, Auditing, </w:t>
      </w:r>
      <w:r w:rsidRPr="00B808B0">
        <w:rPr>
          <w:i/>
          <w:iCs/>
          <w:highlight w:val="yellow"/>
        </w:rPr>
        <w:tab/>
        <w:t>&amp; Accountability</w:t>
      </w:r>
      <w:r w:rsidRPr="00B808B0">
        <w:rPr>
          <w:highlight w:val="yellow"/>
        </w:rPr>
        <w:t xml:space="preserve">, </w:t>
      </w:r>
      <w:r w:rsidRPr="002825D0">
        <w:rPr>
          <w:highlight w:val="yellow"/>
        </w:rPr>
        <w:t>31</w:t>
      </w:r>
      <w:r w:rsidRPr="00B808B0">
        <w:rPr>
          <w:highlight w:val="yellow"/>
        </w:rPr>
        <w:t xml:space="preserve">(7), </w:t>
      </w:r>
      <w:r w:rsidR="002825D0">
        <w:rPr>
          <w:highlight w:val="yellow"/>
        </w:rPr>
        <w:t>pp.</w:t>
      </w:r>
      <w:r w:rsidRPr="00B808B0">
        <w:rPr>
          <w:highlight w:val="yellow"/>
        </w:rPr>
        <w:t xml:space="preserve">1874–1903. </w:t>
      </w:r>
      <w:hyperlink r:id="rId30" w:history="1">
        <w:r w:rsidRPr="00784179">
          <w:rPr>
            <w:rStyle w:val="Hyperlink"/>
            <w:color w:val="auto"/>
            <w:highlight w:val="yellow"/>
            <w:u w:val="none"/>
          </w:rPr>
          <w:t>https://doi. org/10.1108/AAAJ-08-2017-3067</w:t>
        </w:r>
      </w:hyperlink>
      <w:r w:rsidRPr="00784179">
        <w:t xml:space="preserve"> </w:t>
      </w:r>
    </w:p>
    <w:p w14:paraId="0E25D1D3" w14:textId="637DF41D" w:rsidR="00B5287A" w:rsidRPr="000E406C" w:rsidRDefault="00B5287A" w:rsidP="00366418">
      <w:r w:rsidRPr="00F33138">
        <w:t>Mahapatra, N. (2012)</w:t>
      </w:r>
      <w:r>
        <w:t xml:space="preserve"> ‘</w:t>
      </w:r>
      <w:r w:rsidRPr="00F33138">
        <w:t xml:space="preserve">South Asian women in the U.S. and their experience of domestic </w:t>
      </w:r>
      <w:r>
        <w:tab/>
      </w:r>
      <w:r w:rsidRPr="00F33138">
        <w:t>violence.</w:t>
      </w:r>
      <w:r>
        <w:t xml:space="preserve">’, </w:t>
      </w:r>
      <w:r w:rsidRPr="00F33138">
        <w:rPr>
          <w:i/>
          <w:iCs/>
        </w:rPr>
        <w:t>Journal of Family Violence</w:t>
      </w:r>
      <w:r w:rsidRPr="00F33138">
        <w:t xml:space="preserve">, 27(5), </w:t>
      </w:r>
      <w:r>
        <w:t>pp.</w:t>
      </w:r>
      <w:r w:rsidRPr="00F33138">
        <w:t xml:space="preserve">381–390. </w:t>
      </w:r>
      <w:r>
        <w:tab/>
      </w:r>
      <w:hyperlink r:id="rId31" w:history="1">
        <w:r w:rsidRPr="002825D0">
          <w:rPr>
            <w:rStyle w:val="Hyperlink"/>
            <w:color w:val="auto"/>
            <w:u w:val="none"/>
          </w:rPr>
          <w:t>https://doi.org/10.1007/s10896-012-9434-4</w:t>
        </w:r>
      </w:hyperlink>
    </w:p>
    <w:p w14:paraId="222EA125" w14:textId="0D8DA5FF" w:rsidR="00AE2947" w:rsidRPr="00AE2947" w:rsidRDefault="00AE2947" w:rsidP="00366418">
      <w:pPr>
        <w:rPr>
          <w:color w:val="000000" w:themeColor="text1"/>
        </w:rPr>
      </w:pPr>
      <w:r w:rsidRPr="00F5660D">
        <w:rPr>
          <w:color w:val="000000" w:themeColor="text1"/>
          <w:highlight w:val="yellow"/>
        </w:rPr>
        <w:t xml:space="preserve">Mahapatra, N. </w:t>
      </w:r>
      <w:r w:rsidR="002825D0">
        <w:rPr>
          <w:color w:val="000000" w:themeColor="text1"/>
          <w:highlight w:val="yellow"/>
        </w:rPr>
        <w:t>and</w:t>
      </w:r>
      <w:r w:rsidRPr="00F5660D">
        <w:rPr>
          <w:color w:val="000000" w:themeColor="text1"/>
          <w:highlight w:val="yellow"/>
        </w:rPr>
        <w:t xml:space="preserve"> Rai, A. </w:t>
      </w:r>
      <w:r w:rsidRPr="00F5660D">
        <w:rPr>
          <w:rStyle w:val="Date1"/>
          <w:color w:val="000000" w:themeColor="text1"/>
          <w:highlight w:val="yellow"/>
          <w:shd w:val="clear" w:color="auto" w:fill="FFFFFF"/>
        </w:rPr>
        <w:t>(2019)</w:t>
      </w:r>
      <w:r w:rsidRPr="00F5660D">
        <w:rPr>
          <w:color w:val="000000" w:themeColor="text1"/>
          <w:highlight w:val="yellow"/>
          <w:shd w:val="clear" w:color="auto" w:fill="FFFFFF"/>
        </w:rPr>
        <w:t> </w:t>
      </w:r>
      <w:r w:rsidR="002825D0">
        <w:rPr>
          <w:color w:val="000000" w:themeColor="text1"/>
          <w:highlight w:val="yellow"/>
          <w:shd w:val="clear" w:color="auto" w:fill="FFFFFF"/>
        </w:rPr>
        <w:t>‘</w:t>
      </w:r>
      <w:r w:rsidRPr="00F5660D">
        <w:rPr>
          <w:rStyle w:val="arttitle"/>
          <w:color w:val="000000" w:themeColor="text1"/>
          <w:highlight w:val="yellow"/>
          <w:shd w:val="clear" w:color="auto" w:fill="FFFFFF"/>
        </w:rPr>
        <w:t xml:space="preserve">Every cloud has a silver lining but… “pathways to seeking </w:t>
      </w:r>
      <w:r w:rsidRPr="00F5660D">
        <w:rPr>
          <w:rStyle w:val="arttitle"/>
          <w:color w:val="000000" w:themeColor="text1"/>
          <w:highlight w:val="yellow"/>
          <w:shd w:val="clear" w:color="auto" w:fill="FFFFFF"/>
        </w:rPr>
        <w:tab/>
        <w:t>formal-help and South-Asian immigrant women survivors of intimate partner violence</w:t>
      </w:r>
      <w:r w:rsidR="00FA3193">
        <w:rPr>
          <w:rStyle w:val="arttitle"/>
          <w:color w:val="000000" w:themeColor="text1"/>
          <w:highlight w:val="yellow"/>
          <w:shd w:val="clear" w:color="auto" w:fill="FFFFFF"/>
        </w:rPr>
        <w:t>”</w:t>
      </w:r>
      <w:r w:rsidRPr="00F5660D">
        <w:rPr>
          <w:rStyle w:val="arttitle"/>
          <w:color w:val="000000" w:themeColor="text1"/>
          <w:highlight w:val="yellow"/>
          <w:shd w:val="clear" w:color="auto" w:fill="FFFFFF"/>
        </w:rPr>
        <w:t>.</w:t>
      </w:r>
      <w:r w:rsidR="002825D0">
        <w:rPr>
          <w:rStyle w:val="arttitle"/>
          <w:color w:val="000000" w:themeColor="text1"/>
          <w:highlight w:val="yellow"/>
          <w:shd w:val="clear" w:color="auto" w:fill="FFFFFF"/>
        </w:rPr>
        <w:t>’,</w:t>
      </w:r>
      <w:r w:rsidRPr="00F5660D">
        <w:rPr>
          <w:rStyle w:val="arttitle"/>
          <w:color w:val="000000" w:themeColor="text1"/>
          <w:highlight w:val="yellow"/>
          <w:shd w:val="clear" w:color="auto" w:fill="FFFFFF"/>
        </w:rPr>
        <w:t xml:space="preserve"> </w:t>
      </w:r>
      <w:r w:rsidRPr="00F5660D">
        <w:rPr>
          <w:rStyle w:val="arttitle"/>
          <w:color w:val="000000" w:themeColor="text1"/>
          <w:highlight w:val="yellow"/>
          <w:shd w:val="clear" w:color="auto" w:fill="FFFFFF"/>
        </w:rPr>
        <w:tab/>
      </w:r>
      <w:r w:rsidRPr="00F5660D">
        <w:rPr>
          <w:rStyle w:val="serialtitle"/>
          <w:i/>
          <w:iCs/>
          <w:color w:val="000000" w:themeColor="text1"/>
          <w:highlight w:val="yellow"/>
          <w:shd w:val="clear" w:color="auto" w:fill="FFFFFF"/>
        </w:rPr>
        <w:t>Health Care for Women International</w:t>
      </w:r>
      <w:r w:rsidRPr="00F5660D">
        <w:rPr>
          <w:rStyle w:val="serialtitle"/>
          <w:color w:val="000000" w:themeColor="text1"/>
          <w:highlight w:val="yellow"/>
          <w:shd w:val="clear" w:color="auto" w:fill="FFFFFF"/>
        </w:rPr>
        <w:t xml:space="preserve">, </w:t>
      </w:r>
      <w:r w:rsidRPr="002825D0">
        <w:rPr>
          <w:rStyle w:val="serialtitle"/>
          <w:color w:val="000000" w:themeColor="text1"/>
          <w:highlight w:val="yellow"/>
          <w:shd w:val="clear" w:color="auto" w:fill="FFFFFF"/>
        </w:rPr>
        <w:t>40</w:t>
      </w:r>
      <w:r w:rsidRPr="00F5660D">
        <w:rPr>
          <w:rStyle w:val="serialtitle"/>
          <w:color w:val="000000" w:themeColor="text1"/>
          <w:highlight w:val="yellow"/>
          <w:shd w:val="clear" w:color="auto" w:fill="FFFFFF"/>
        </w:rPr>
        <w:t xml:space="preserve">(11), </w:t>
      </w:r>
      <w:r w:rsidR="002825D0">
        <w:rPr>
          <w:rStyle w:val="serialtitle"/>
          <w:color w:val="000000" w:themeColor="text1"/>
          <w:highlight w:val="yellow"/>
          <w:shd w:val="clear" w:color="auto" w:fill="FFFFFF"/>
        </w:rPr>
        <w:t>pp.</w:t>
      </w:r>
      <w:r w:rsidRPr="00F5660D">
        <w:rPr>
          <w:rStyle w:val="serialtitle"/>
          <w:color w:val="000000" w:themeColor="text1"/>
          <w:highlight w:val="yellow"/>
          <w:shd w:val="clear" w:color="auto" w:fill="FFFFFF"/>
        </w:rPr>
        <w:t>1170-</w:t>
      </w:r>
      <w:r w:rsidRPr="00F5660D">
        <w:rPr>
          <w:rStyle w:val="serialtitle"/>
          <w:color w:val="000000" w:themeColor="text1"/>
          <w:highlight w:val="yellow"/>
          <w:shd w:val="clear" w:color="auto" w:fill="FFFFFF"/>
        </w:rPr>
        <w:tab/>
      </w:r>
      <w:r w:rsidRPr="00AE2947">
        <w:rPr>
          <w:rStyle w:val="serialtitle"/>
          <w:color w:val="000000" w:themeColor="text1"/>
          <w:highlight w:val="yellow"/>
          <w:shd w:val="clear" w:color="auto" w:fill="FFFFFF"/>
        </w:rPr>
        <w:t xml:space="preserve">1196. </w:t>
      </w:r>
      <w:r w:rsidRPr="00AE2947">
        <w:rPr>
          <w:color w:val="000000" w:themeColor="text1"/>
          <w:highlight w:val="yellow"/>
          <w:shd w:val="clear" w:color="auto" w:fill="FFFFFF"/>
        </w:rPr>
        <w:t> </w:t>
      </w:r>
      <w:hyperlink r:id="rId32" w:history="1">
        <w:r w:rsidRPr="002825D0">
          <w:rPr>
            <w:rStyle w:val="Hyperlink"/>
            <w:color w:val="000000" w:themeColor="text1"/>
            <w:highlight w:val="yellow"/>
            <w:u w:val="none"/>
          </w:rPr>
          <w:t>https://doi.org/10.1080/07399332.2019.1641502</w:t>
        </w:r>
      </w:hyperlink>
    </w:p>
    <w:p w14:paraId="103F11C9" w14:textId="31164082" w:rsidR="00366418" w:rsidRDefault="00366418" w:rsidP="00366418">
      <w:pPr>
        <w:rPr>
          <w:rStyle w:val="Hyperlink"/>
          <w:color w:val="000000" w:themeColor="text1"/>
          <w:u w:val="none"/>
        </w:rPr>
      </w:pPr>
      <w:r w:rsidRPr="00914F61">
        <w:t>Martinez, S. M., Ainsworth, B. E.</w:t>
      </w:r>
      <w:r w:rsidR="002825D0">
        <w:t xml:space="preserve"> and</w:t>
      </w:r>
      <w:r w:rsidRPr="00914F61">
        <w:t xml:space="preserve"> Elder, J. P. (2008)</w:t>
      </w:r>
      <w:r w:rsidR="002825D0">
        <w:t xml:space="preserve"> ‘</w:t>
      </w:r>
      <w:r w:rsidRPr="00914F61">
        <w:t>A review of physical activity measures</w:t>
      </w:r>
      <w:r w:rsidRPr="0018400B">
        <w:tab/>
      </w:r>
      <w:r w:rsidRPr="00914F61">
        <w:t>used among US Latinos: Guidelines for developing culturally appropriate measures.</w:t>
      </w:r>
      <w:r w:rsidR="002825D0">
        <w:t>’,</w:t>
      </w:r>
      <w:r w:rsidRPr="0018400B">
        <w:tab/>
      </w:r>
      <w:r w:rsidRPr="00914F61">
        <w:rPr>
          <w:i/>
          <w:iCs/>
        </w:rPr>
        <w:t>Annuals of Behavioral Medicine</w:t>
      </w:r>
      <w:r w:rsidRPr="00914F61">
        <w:t xml:space="preserve">, 36, </w:t>
      </w:r>
      <w:r w:rsidR="002825D0">
        <w:t>pp.</w:t>
      </w:r>
      <w:r w:rsidRPr="00914F61">
        <w:t xml:space="preserve">195–207. </w:t>
      </w:r>
      <w:hyperlink r:id="rId33" w:history="1">
        <w:r w:rsidRPr="00950C13">
          <w:rPr>
            <w:rStyle w:val="Hyperlink"/>
            <w:color w:val="000000" w:themeColor="text1"/>
            <w:u w:val="none"/>
          </w:rPr>
          <w:t>doi:10-1007/s12160-008-9063-6</w:t>
        </w:r>
      </w:hyperlink>
    </w:p>
    <w:p w14:paraId="5E9A0CFB" w14:textId="287248A6" w:rsidR="00366418" w:rsidRPr="0018400B" w:rsidRDefault="00366418" w:rsidP="00366418">
      <w:r w:rsidRPr="0001380E">
        <w:lastRenderedPageBreak/>
        <w:t>Mirza, N. (2017</w:t>
      </w:r>
      <w:r w:rsidR="0006036C">
        <w:t>)</w:t>
      </w:r>
      <w:r w:rsidRPr="0001380E">
        <w:t xml:space="preserve"> </w:t>
      </w:r>
      <w:r w:rsidR="0006036C">
        <w:t>‘</w:t>
      </w:r>
      <w:r w:rsidRPr="0001380E">
        <w:t xml:space="preserve">South Asian women’s experience of abuse by female affinal kin: </w:t>
      </w:r>
      <w:r w:rsidR="000E406C">
        <w:t>A</w:t>
      </w:r>
      <w:r w:rsidRPr="0001380E">
        <w:t xml:space="preserve"> critique of</w:t>
      </w:r>
      <w:r w:rsidRPr="0018400B">
        <w:tab/>
      </w:r>
      <w:r w:rsidRPr="0001380E">
        <w:t>mainstream conceptualizations of “domestic abuse</w:t>
      </w:r>
      <w:r w:rsidR="00621713">
        <w:t>"</w:t>
      </w:r>
      <w:r w:rsidR="0006036C">
        <w:t>’,</w:t>
      </w:r>
      <w:r w:rsidRPr="0001380E">
        <w:t xml:space="preserve"> </w:t>
      </w:r>
      <w:r w:rsidRPr="0001380E">
        <w:rPr>
          <w:i/>
          <w:iCs/>
        </w:rPr>
        <w:t>Families, Relationships and</w:t>
      </w:r>
      <w:r w:rsidRPr="0018400B">
        <w:rPr>
          <w:i/>
          <w:iCs/>
        </w:rPr>
        <w:tab/>
      </w:r>
      <w:r w:rsidRPr="0001380E">
        <w:rPr>
          <w:i/>
          <w:iCs/>
        </w:rPr>
        <w:t>Societies</w:t>
      </w:r>
      <w:r w:rsidRPr="0001380E">
        <w:t>,</w:t>
      </w:r>
      <w:r w:rsidRPr="0018400B">
        <w:t xml:space="preserve"> </w:t>
      </w:r>
      <w:r w:rsidRPr="0001380E">
        <w:t xml:space="preserve">6(3), </w:t>
      </w:r>
      <w:r w:rsidR="0006036C">
        <w:t>pp.</w:t>
      </w:r>
      <w:r w:rsidRPr="0001380E">
        <w:t>393-409</w:t>
      </w:r>
      <w:r w:rsidRPr="0018400B">
        <w:t xml:space="preserve">. </w:t>
      </w:r>
      <w:hyperlink r:id="rId34" w:history="1">
        <w:r w:rsidRPr="0018400B">
          <w:rPr>
            <w:rStyle w:val="Hyperlink"/>
            <w:color w:val="auto"/>
            <w:u w:val="none"/>
            <w:shd w:val="clear" w:color="auto" w:fill="FFFFFF"/>
          </w:rPr>
          <w:t>https://doi.org/10.1332/204674315X14501013130928</w:t>
        </w:r>
      </w:hyperlink>
    </w:p>
    <w:p w14:paraId="7024C97A" w14:textId="2D9EC42E" w:rsidR="0087440D" w:rsidRDefault="00366418" w:rsidP="0087440D">
      <w:proofErr w:type="spellStart"/>
      <w:r w:rsidRPr="000E406C">
        <w:t>Murugan</w:t>
      </w:r>
      <w:proofErr w:type="spellEnd"/>
      <w:r w:rsidRPr="000E406C">
        <w:t xml:space="preserve">, V. </w:t>
      </w:r>
      <w:r w:rsidR="00723FF2" w:rsidRPr="000E406C">
        <w:t>(</w:t>
      </w:r>
      <w:r w:rsidRPr="000E406C">
        <w:t>2017</w:t>
      </w:r>
      <w:r w:rsidR="00723FF2" w:rsidRPr="000E406C">
        <w:t>)</w:t>
      </w:r>
      <w:r w:rsidRPr="000E406C">
        <w:t xml:space="preserve">. </w:t>
      </w:r>
      <w:r w:rsidR="000E406C">
        <w:t>‘</w:t>
      </w:r>
      <w:r w:rsidRPr="000E406C">
        <w:t>Intimate partner violence among South Asian women in the United States:</w:t>
      </w:r>
      <w:r w:rsidRPr="000E406C">
        <w:tab/>
        <w:t xml:space="preserve">Prevalence and help-seeking </w:t>
      </w:r>
      <w:proofErr w:type="gramStart"/>
      <w:r w:rsidRPr="000E406C">
        <w:t>behaviors</w:t>
      </w:r>
      <w:r w:rsidR="000E406C">
        <w:t>’</w:t>
      </w:r>
      <w:proofErr w:type="gramEnd"/>
      <w:r w:rsidRPr="000E406C">
        <w:t>.</w:t>
      </w:r>
      <w:r w:rsidR="0006036C">
        <w:t xml:space="preserve"> Ph.D. </w:t>
      </w:r>
      <w:r w:rsidRPr="00776853">
        <w:t>dissertation, Washington University</w:t>
      </w:r>
      <w:r w:rsidR="00AE78A5">
        <w:t>, St</w:t>
      </w:r>
      <w:r w:rsidR="0087440D">
        <w:t>.</w:t>
      </w:r>
    </w:p>
    <w:p w14:paraId="56F0E587" w14:textId="4E523AA4" w:rsidR="00366418" w:rsidRPr="0018400B" w:rsidRDefault="0087440D" w:rsidP="0087440D">
      <w:pPr>
        <w:ind w:firstLine="720"/>
      </w:pPr>
      <w:r>
        <w:t>Louis</w:t>
      </w:r>
    </w:p>
    <w:p w14:paraId="4A092D2A" w14:textId="0E8B8FBA" w:rsidR="006D0E05" w:rsidRDefault="00366418" w:rsidP="006D0E05">
      <w:r w:rsidRPr="00F33138">
        <w:t xml:space="preserve">National Coalition Against Domestic Violence (NCADV). (2017) </w:t>
      </w:r>
      <w:r w:rsidRPr="00F33138">
        <w:rPr>
          <w:i/>
          <w:iCs/>
        </w:rPr>
        <w:t>Quick guide:</w:t>
      </w:r>
      <w:r w:rsidR="0006036C">
        <w:rPr>
          <w:i/>
          <w:iCs/>
        </w:rPr>
        <w:t xml:space="preserve"> </w:t>
      </w:r>
      <w:r w:rsidRPr="00F33138">
        <w:rPr>
          <w:i/>
          <w:iCs/>
        </w:rPr>
        <w:t xml:space="preserve">Economic and </w:t>
      </w:r>
      <w:r w:rsidR="0006036C">
        <w:rPr>
          <w:i/>
          <w:iCs/>
        </w:rPr>
        <w:tab/>
      </w:r>
      <w:r w:rsidRPr="00F33138">
        <w:rPr>
          <w:i/>
          <w:iCs/>
        </w:rPr>
        <w:t>financial abuse</w:t>
      </w:r>
      <w:r w:rsidRPr="00F33138">
        <w:t xml:space="preserve">. </w:t>
      </w:r>
      <w:r w:rsidR="0006036C">
        <w:t>Available at:</w:t>
      </w:r>
      <w:r w:rsidRPr="00F33138">
        <w:t xml:space="preserve"> </w:t>
      </w:r>
      <w:hyperlink r:id="rId35" w:history="1">
        <w:r w:rsidR="0006036C" w:rsidRPr="007942FB">
          <w:rPr>
            <w:rStyle w:val="Hyperlink"/>
            <w:color w:val="auto"/>
            <w:u w:val="none"/>
          </w:rPr>
          <w:t>https://ncadv.org/blog/posts/quick-guide-economic-and-</w:t>
        </w:r>
        <w:r w:rsidR="0006036C" w:rsidRPr="007942FB">
          <w:rPr>
            <w:rStyle w:val="Hyperlink"/>
            <w:color w:val="auto"/>
            <w:u w:val="none"/>
          </w:rPr>
          <w:tab/>
          <w:t>financial-abuse</w:t>
        </w:r>
      </w:hyperlink>
      <w:r w:rsidR="0006036C">
        <w:rPr>
          <w:rStyle w:val="Hyperlink"/>
          <w:color w:val="000000" w:themeColor="text1"/>
          <w:u w:val="none"/>
        </w:rPr>
        <w:t xml:space="preserve"> </w:t>
      </w:r>
      <w:r w:rsidR="006D0E05" w:rsidRPr="009A2078">
        <w:t>(Accessed: 7 March 2021)</w:t>
      </w:r>
    </w:p>
    <w:p w14:paraId="5C6A136F" w14:textId="304B8A93" w:rsidR="006D0E05" w:rsidRPr="001A38D1" w:rsidRDefault="001A38D1" w:rsidP="006D0E05">
      <w:r w:rsidRPr="001A38D1">
        <w:rPr>
          <w:color w:val="000000" w:themeColor="text1"/>
        </w:rPr>
        <w:t>National Center for Injury Prevention and Control.</w:t>
      </w:r>
      <w:r>
        <w:rPr>
          <w:color w:val="000000" w:themeColor="text1"/>
        </w:rPr>
        <w:t xml:space="preserve"> (</w:t>
      </w:r>
      <w:proofErr w:type="gramStart"/>
      <w:r>
        <w:rPr>
          <w:color w:val="000000" w:themeColor="text1"/>
        </w:rPr>
        <w:t>no</w:t>
      </w:r>
      <w:proofErr w:type="gramEnd"/>
      <w:r>
        <w:rPr>
          <w:color w:val="000000" w:themeColor="text1"/>
        </w:rPr>
        <w:t xml:space="preserve"> date) </w:t>
      </w:r>
      <w:hyperlink r:id="rId36" w:history="1">
        <w:r w:rsidRPr="001A38D1">
          <w:rPr>
            <w:rStyle w:val="Hyperlink"/>
            <w:i/>
            <w:iCs/>
            <w:color w:val="auto"/>
            <w:u w:val="none"/>
          </w:rPr>
          <w:t>Division of Violence Prevention</w:t>
        </w:r>
      </w:hyperlink>
      <w:r w:rsidRPr="001A38D1">
        <w:rPr>
          <w:i/>
          <w:iCs/>
        </w:rPr>
        <w:t>.</w:t>
      </w:r>
      <w:r>
        <w:rPr>
          <w:i/>
          <w:iCs/>
        </w:rPr>
        <w:t xml:space="preserve"> </w:t>
      </w:r>
      <w:r>
        <w:rPr>
          <w:i/>
          <w:iCs/>
        </w:rPr>
        <w:tab/>
      </w:r>
      <w:r>
        <w:t>Available at:</w:t>
      </w:r>
    </w:p>
    <w:p w14:paraId="2E4A6459" w14:textId="3B1EDE02" w:rsidR="00E16963" w:rsidRDefault="00253874" w:rsidP="001C3817">
      <w:pPr>
        <w:ind w:left="720"/>
      </w:pPr>
      <w:hyperlink r:id="rId37" w:history="1">
        <w:r w:rsidR="006D0E05" w:rsidRPr="00E16963">
          <w:rPr>
            <w:rStyle w:val="Hyperlink"/>
            <w:color w:val="auto"/>
            <w:u w:val="none"/>
          </w:rPr>
          <w:t>https://www.cdc.gov/violenceprevention/intimatepartnerviolence/fastfact.html</w:t>
        </w:r>
      </w:hyperlink>
      <w:r w:rsidR="001A38D1">
        <w:t xml:space="preserve"> </w:t>
      </w:r>
      <w:r w:rsidR="006D0E05" w:rsidRPr="009A2078">
        <w:t>(Accessed: 7 March</w:t>
      </w:r>
      <w:r w:rsidR="001C3817">
        <w:t xml:space="preserve"> </w:t>
      </w:r>
      <w:r w:rsidR="006D0E05" w:rsidRPr="009A2078">
        <w:t>2021)</w:t>
      </w:r>
    </w:p>
    <w:p w14:paraId="05BF1B1C" w14:textId="62F6B9FF" w:rsidR="00916864" w:rsidRPr="00916864" w:rsidRDefault="00916864" w:rsidP="00E16963">
      <w:pPr>
        <w:rPr>
          <w:color w:val="000000" w:themeColor="text1"/>
        </w:rPr>
      </w:pPr>
      <w:r w:rsidRPr="00916864">
        <w:rPr>
          <w:color w:val="000000" w:themeColor="text1"/>
        </w:rPr>
        <w:t>National Center for Victims of Crime</w:t>
      </w:r>
      <w:r w:rsidR="00DB0C5D">
        <w:rPr>
          <w:color w:val="000000" w:themeColor="text1"/>
        </w:rPr>
        <w:t>.</w:t>
      </w:r>
      <w:r w:rsidRPr="00916864">
        <w:rPr>
          <w:color w:val="000000" w:themeColor="text1"/>
        </w:rPr>
        <w:t xml:space="preserve"> (2017) </w:t>
      </w:r>
      <w:r w:rsidRPr="00916864">
        <w:rPr>
          <w:i/>
          <w:iCs/>
          <w:color w:val="000000" w:themeColor="text1"/>
        </w:rPr>
        <w:t xml:space="preserve">2017 NCRVW </w:t>
      </w:r>
      <w:r w:rsidR="00006D4E">
        <w:rPr>
          <w:i/>
          <w:iCs/>
          <w:color w:val="000000" w:themeColor="text1"/>
        </w:rPr>
        <w:t>r</w:t>
      </w:r>
      <w:r w:rsidRPr="00916864">
        <w:rPr>
          <w:i/>
          <w:iCs/>
          <w:color w:val="000000" w:themeColor="text1"/>
        </w:rPr>
        <w:t xml:space="preserve">esource </w:t>
      </w:r>
      <w:r w:rsidR="00006D4E">
        <w:rPr>
          <w:i/>
          <w:iCs/>
          <w:color w:val="000000" w:themeColor="text1"/>
        </w:rPr>
        <w:t>g</w:t>
      </w:r>
      <w:r w:rsidRPr="00916864">
        <w:rPr>
          <w:i/>
          <w:iCs/>
          <w:color w:val="000000" w:themeColor="text1"/>
        </w:rPr>
        <w:t>uide:</w:t>
      </w:r>
      <w:r w:rsidR="00006D4E">
        <w:rPr>
          <w:i/>
          <w:iCs/>
          <w:color w:val="000000" w:themeColor="text1"/>
        </w:rPr>
        <w:t xml:space="preserve"> </w:t>
      </w:r>
      <w:r w:rsidRPr="00916864">
        <w:rPr>
          <w:i/>
          <w:iCs/>
          <w:color w:val="000000" w:themeColor="text1"/>
        </w:rPr>
        <w:t>Intimate </w:t>
      </w:r>
      <w:r w:rsidR="00006D4E">
        <w:rPr>
          <w:i/>
          <w:iCs/>
          <w:color w:val="000000" w:themeColor="text1"/>
        </w:rPr>
        <w:t>p</w:t>
      </w:r>
      <w:r w:rsidRPr="00916864">
        <w:rPr>
          <w:i/>
          <w:iCs/>
          <w:color w:val="000000" w:themeColor="text1"/>
        </w:rPr>
        <w:t>artner </w:t>
      </w:r>
      <w:r w:rsidRPr="00916864">
        <w:rPr>
          <w:color w:val="000000" w:themeColor="text1"/>
        </w:rPr>
        <w:t> </w:t>
      </w:r>
    </w:p>
    <w:p w14:paraId="698C56DC" w14:textId="5193D1E5" w:rsidR="00916864" w:rsidRPr="0006036C" w:rsidRDefault="00916864" w:rsidP="00132B72">
      <w:r>
        <w:rPr>
          <w:i/>
          <w:iCs/>
          <w:color w:val="000000" w:themeColor="text1"/>
        </w:rPr>
        <w:tab/>
      </w:r>
      <w:r w:rsidR="00006D4E">
        <w:rPr>
          <w:i/>
          <w:iCs/>
          <w:color w:val="000000" w:themeColor="text1"/>
        </w:rPr>
        <w:t>v</w:t>
      </w:r>
      <w:r w:rsidRPr="00916864">
        <w:rPr>
          <w:i/>
          <w:iCs/>
          <w:color w:val="000000" w:themeColor="text1"/>
        </w:rPr>
        <w:t xml:space="preserve">iolence </w:t>
      </w:r>
      <w:r w:rsidR="00006D4E">
        <w:rPr>
          <w:i/>
          <w:iCs/>
          <w:color w:val="000000" w:themeColor="text1"/>
        </w:rPr>
        <w:t>f</w:t>
      </w:r>
      <w:r w:rsidRPr="00916864">
        <w:rPr>
          <w:i/>
          <w:iCs/>
          <w:color w:val="000000" w:themeColor="text1"/>
        </w:rPr>
        <w:t>act</w:t>
      </w:r>
      <w:r w:rsidR="00006D4E">
        <w:rPr>
          <w:i/>
          <w:iCs/>
          <w:color w:val="000000" w:themeColor="text1"/>
        </w:rPr>
        <w:t xml:space="preserve"> s</w:t>
      </w:r>
      <w:r w:rsidRPr="00916864">
        <w:rPr>
          <w:i/>
          <w:iCs/>
          <w:color w:val="000000" w:themeColor="text1"/>
        </w:rPr>
        <w:t>heet</w:t>
      </w:r>
      <w:r w:rsidR="0006036C">
        <w:rPr>
          <w:i/>
          <w:iCs/>
          <w:color w:val="000000" w:themeColor="text1"/>
        </w:rPr>
        <w:t xml:space="preserve">. </w:t>
      </w:r>
      <w:r w:rsidR="0006036C" w:rsidRPr="0006036C">
        <w:rPr>
          <w:color w:val="000000" w:themeColor="text1"/>
        </w:rPr>
        <w:t xml:space="preserve">Available </w:t>
      </w:r>
      <w:r w:rsidR="0006036C" w:rsidRPr="0006036C">
        <w:rPr>
          <w:color w:val="000000" w:themeColor="text1"/>
        </w:rPr>
        <w:tab/>
        <w:t>at:</w:t>
      </w:r>
      <w:r w:rsidR="0006036C">
        <w:rPr>
          <w:i/>
          <w:iCs/>
          <w:color w:val="000000" w:themeColor="text1"/>
        </w:rPr>
        <w:t xml:space="preserve"> </w:t>
      </w:r>
      <w:r w:rsidRPr="00916864">
        <w:rPr>
          <w:i/>
          <w:iCs/>
          <w:color w:val="000000" w:themeColor="text1"/>
        </w:rPr>
        <w:t> </w:t>
      </w:r>
      <w:hyperlink r:id="rId38" w:history="1">
        <w:r w:rsidRPr="0006036C">
          <w:rPr>
            <w:rStyle w:val="Hyperlink"/>
            <w:color w:val="auto"/>
            <w:u w:val="none"/>
          </w:rPr>
          <w:t>https://www.ncjrs.gov/ovc_archives/ncvrw/2017/images/en_artwork/Fact_Sheets/2</w:t>
        </w:r>
        <w:r w:rsidRPr="0006036C">
          <w:rPr>
            <w:rStyle w:val="Hyperlink"/>
            <w:color w:val="auto"/>
            <w:u w:val="none"/>
          </w:rPr>
          <w:tab/>
          <w:t>017NCVRW_IPV_508.pdf</w:t>
        </w:r>
      </w:hyperlink>
      <w:r w:rsidR="0006036C" w:rsidRPr="0006036C">
        <w:rPr>
          <w:rStyle w:val="Hyperlink"/>
          <w:color w:val="auto"/>
          <w:u w:val="none"/>
        </w:rPr>
        <w:t xml:space="preserve"> </w:t>
      </w:r>
      <w:r w:rsidR="00132B72" w:rsidRPr="009A2078">
        <w:t>(Accessed: 7 March 2021)</w:t>
      </w:r>
    </w:p>
    <w:p w14:paraId="56DC33D2" w14:textId="48275CB7" w:rsidR="008A4872" w:rsidRDefault="00366418" w:rsidP="008A4872">
      <w:pPr>
        <w:rPr>
          <w:shd w:val="clear" w:color="auto" w:fill="FFFFFF"/>
        </w:rPr>
      </w:pPr>
      <w:r w:rsidRPr="00F33138">
        <w:rPr>
          <w:color w:val="000000" w:themeColor="text1"/>
        </w:rPr>
        <w:t xml:space="preserve">Naik, G. R. (2018) </w:t>
      </w:r>
      <w:r w:rsidRPr="008A4872">
        <w:rPr>
          <w:i/>
          <w:iCs/>
          <w:color w:val="000000" w:themeColor="text1"/>
        </w:rPr>
        <w:t xml:space="preserve">Advances in principal component </w:t>
      </w:r>
      <w:r w:rsidRPr="008A4872">
        <w:rPr>
          <w:i/>
          <w:iCs/>
        </w:rPr>
        <w:t>analysis: Research and development.</w:t>
      </w:r>
      <w:r w:rsidRPr="0018400B">
        <w:tab/>
      </w:r>
      <w:r w:rsidRPr="0018400B">
        <w:rPr>
          <w:shd w:val="clear" w:color="auto" w:fill="FFFFFF"/>
        </w:rPr>
        <w:t>Singapore</w:t>
      </w:r>
      <w:r w:rsidR="0044308C">
        <w:rPr>
          <w:shd w:val="clear" w:color="auto" w:fill="FFFFFF"/>
        </w:rPr>
        <w:t>: Springer</w:t>
      </w:r>
      <w:r w:rsidRPr="0018400B">
        <w:rPr>
          <w:shd w:val="clear" w:color="auto" w:fill="FFFFFF"/>
        </w:rPr>
        <w:t xml:space="preserve">. </w:t>
      </w:r>
    </w:p>
    <w:p w14:paraId="5D12B21B" w14:textId="77777777" w:rsidR="006408CC" w:rsidRDefault="00CC2D59" w:rsidP="008A4872">
      <w:pPr>
        <w:rPr>
          <w:color w:val="000000" w:themeColor="text1"/>
        </w:rPr>
      </w:pPr>
      <w:r w:rsidRPr="00CC2D59">
        <w:rPr>
          <w:color w:val="000000" w:themeColor="text1"/>
          <w:highlight w:val="yellow"/>
        </w:rPr>
        <w:t xml:space="preserve">Office of National Statistics. </w:t>
      </w:r>
      <w:r>
        <w:rPr>
          <w:color w:val="000000" w:themeColor="text1"/>
          <w:highlight w:val="yellow"/>
        </w:rPr>
        <w:t>(</w:t>
      </w:r>
      <w:r w:rsidRPr="00CC2D59">
        <w:rPr>
          <w:color w:val="000000" w:themeColor="text1"/>
          <w:highlight w:val="yellow"/>
        </w:rPr>
        <w:t>2021</w:t>
      </w:r>
      <w:r>
        <w:rPr>
          <w:color w:val="000000" w:themeColor="text1"/>
          <w:highlight w:val="yellow"/>
        </w:rPr>
        <w:t xml:space="preserve">) </w:t>
      </w:r>
      <w:r w:rsidRPr="00CC2D59">
        <w:rPr>
          <w:i/>
          <w:iCs/>
          <w:color w:val="000000" w:themeColor="text1"/>
          <w:highlight w:val="yellow"/>
        </w:rPr>
        <w:t xml:space="preserve">Population of the U.K. </w:t>
      </w:r>
      <w:r>
        <w:rPr>
          <w:i/>
          <w:iCs/>
          <w:color w:val="000000" w:themeColor="text1"/>
          <w:highlight w:val="yellow"/>
        </w:rPr>
        <w:t>b</w:t>
      </w:r>
      <w:r w:rsidRPr="00CC2D59">
        <w:rPr>
          <w:i/>
          <w:iCs/>
          <w:color w:val="000000" w:themeColor="text1"/>
          <w:highlight w:val="yellow"/>
        </w:rPr>
        <w:t xml:space="preserve">y </w:t>
      </w:r>
      <w:r>
        <w:rPr>
          <w:i/>
          <w:iCs/>
          <w:color w:val="000000" w:themeColor="text1"/>
          <w:highlight w:val="yellow"/>
        </w:rPr>
        <w:t>c</w:t>
      </w:r>
      <w:r w:rsidRPr="00CC2D59">
        <w:rPr>
          <w:i/>
          <w:iCs/>
          <w:color w:val="000000" w:themeColor="text1"/>
          <w:highlight w:val="yellow"/>
        </w:rPr>
        <w:t xml:space="preserve">ountry of </w:t>
      </w:r>
      <w:r>
        <w:rPr>
          <w:i/>
          <w:iCs/>
          <w:color w:val="000000" w:themeColor="text1"/>
          <w:highlight w:val="yellow"/>
        </w:rPr>
        <w:t>b</w:t>
      </w:r>
      <w:r w:rsidRPr="00CC2D59">
        <w:rPr>
          <w:i/>
          <w:iCs/>
          <w:color w:val="000000" w:themeColor="text1"/>
          <w:highlight w:val="yellow"/>
        </w:rPr>
        <w:t xml:space="preserve">irth and </w:t>
      </w:r>
      <w:r>
        <w:rPr>
          <w:i/>
          <w:iCs/>
          <w:color w:val="000000" w:themeColor="text1"/>
          <w:highlight w:val="yellow"/>
        </w:rPr>
        <w:t>n</w:t>
      </w:r>
      <w:r w:rsidRPr="00CC2D59">
        <w:rPr>
          <w:i/>
          <w:iCs/>
          <w:color w:val="000000" w:themeColor="text1"/>
          <w:highlight w:val="yellow"/>
        </w:rPr>
        <w:t xml:space="preserve">ationality: </w:t>
      </w:r>
      <w:r w:rsidRPr="00CC2D59">
        <w:rPr>
          <w:i/>
          <w:iCs/>
          <w:color w:val="000000" w:themeColor="text1"/>
          <w:highlight w:val="yellow"/>
        </w:rPr>
        <w:tab/>
        <w:t xml:space="preserve">2020. </w:t>
      </w:r>
      <w:r>
        <w:rPr>
          <w:color w:val="000000" w:themeColor="text1"/>
          <w:highlight w:val="yellow"/>
        </w:rPr>
        <w:t>Available at:</w:t>
      </w:r>
      <w:r w:rsidRPr="00CC2D59">
        <w:rPr>
          <w:color w:val="000000" w:themeColor="text1"/>
          <w:highlight w:val="yellow"/>
        </w:rPr>
        <w:t xml:space="preserve"> </w:t>
      </w:r>
    </w:p>
    <w:p w14:paraId="2C75A371" w14:textId="48010485" w:rsidR="00CC2D59" w:rsidRPr="00293BED" w:rsidRDefault="00253874" w:rsidP="006408CC">
      <w:pPr>
        <w:ind w:left="720"/>
        <w:rPr>
          <w:rStyle w:val="Hyperlink"/>
          <w:color w:val="auto"/>
          <w:highlight w:val="yellow"/>
          <w:u w:val="none"/>
        </w:rPr>
      </w:pPr>
      <w:hyperlink r:id="rId39" w:history="1">
        <w:r w:rsidR="006408CC" w:rsidRPr="006408CC">
          <w:rPr>
            <w:rStyle w:val="Hyperlink"/>
            <w:color w:val="auto"/>
            <w:u w:val="none"/>
          </w:rPr>
          <w:t>https://www.ons.gov.uk/peoplepopulationandcommunity/populationandmigration/internationalmigration/datasets/populationoftheunitedkingdombycountryofbirthandnationality</w:t>
        </w:r>
      </w:hyperlink>
      <w:r w:rsidR="00CC2D59" w:rsidRPr="006408CC">
        <w:rPr>
          <w:highlight w:val="yellow"/>
        </w:rPr>
        <w:tab/>
        <w:t xml:space="preserve"> </w:t>
      </w:r>
      <w:r w:rsidR="00D3287E" w:rsidRPr="00293BED">
        <w:rPr>
          <w:highlight w:val="yellow"/>
        </w:rPr>
        <w:t xml:space="preserve">(Accessed: </w:t>
      </w:r>
      <w:r w:rsidR="00293BED" w:rsidRPr="00293BED">
        <w:rPr>
          <w:highlight w:val="yellow"/>
        </w:rPr>
        <w:t xml:space="preserve">2 </w:t>
      </w:r>
      <w:proofErr w:type="spellStart"/>
      <w:r w:rsidR="00293BED" w:rsidRPr="00293BED">
        <w:rPr>
          <w:highlight w:val="yellow"/>
        </w:rPr>
        <w:t>Novemeber</w:t>
      </w:r>
      <w:proofErr w:type="spellEnd"/>
      <w:r w:rsidR="00293BED" w:rsidRPr="00293BED">
        <w:rPr>
          <w:highlight w:val="yellow"/>
        </w:rPr>
        <w:t xml:space="preserve"> 2021)</w:t>
      </w:r>
    </w:p>
    <w:p w14:paraId="12567342" w14:textId="2A37B364" w:rsidR="00132B72" w:rsidRPr="00132B72" w:rsidRDefault="00F5660D" w:rsidP="00132B72">
      <w:pPr>
        <w:rPr>
          <w:highlight w:val="yellow"/>
        </w:rPr>
      </w:pPr>
      <w:r w:rsidRPr="0089722C">
        <w:rPr>
          <w:rStyle w:val="Hyperlink"/>
          <w:color w:val="000000" w:themeColor="text1"/>
          <w:highlight w:val="yellow"/>
          <w:u w:val="none"/>
        </w:rPr>
        <w:t>Oxford Learner’s Dictionaries</w:t>
      </w:r>
      <w:r w:rsidR="001C3817">
        <w:rPr>
          <w:rStyle w:val="Hyperlink"/>
          <w:color w:val="000000" w:themeColor="text1"/>
          <w:highlight w:val="yellow"/>
          <w:u w:val="none"/>
        </w:rPr>
        <w:t>.</w:t>
      </w:r>
      <w:r w:rsidRPr="0089722C">
        <w:rPr>
          <w:rStyle w:val="Hyperlink"/>
          <w:color w:val="000000" w:themeColor="text1"/>
          <w:highlight w:val="yellow"/>
          <w:u w:val="none"/>
        </w:rPr>
        <w:t xml:space="preserve"> (n</w:t>
      </w:r>
      <w:r w:rsidR="008A4872">
        <w:rPr>
          <w:rStyle w:val="Hyperlink"/>
          <w:color w:val="000000" w:themeColor="text1"/>
          <w:highlight w:val="yellow"/>
          <w:u w:val="none"/>
        </w:rPr>
        <w:t>o date</w:t>
      </w:r>
      <w:r w:rsidRPr="0089722C">
        <w:rPr>
          <w:rStyle w:val="Hyperlink"/>
          <w:color w:val="000000" w:themeColor="text1"/>
          <w:highlight w:val="yellow"/>
          <w:u w:val="none"/>
        </w:rPr>
        <w:t xml:space="preserve">) </w:t>
      </w:r>
      <w:r w:rsidRPr="008A4872">
        <w:rPr>
          <w:rStyle w:val="Hyperlink"/>
          <w:i/>
          <w:iCs/>
          <w:color w:val="000000" w:themeColor="text1"/>
          <w:highlight w:val="yellow"/>
          <w:u w:val="none"/>
        </w:rPr>
        <w:t>Izzat (noun).</w:t>
      </w:r>
      <w:r w:rsidRPr="0089722C">
        <w:rPr>
          <w:rStyle w:val="Hyperlink"/>
          <w:color w:val="000000" w:themeColor="text1"/>
          <w:highlight w:val="yellow"/>
          <w:u w:val="none"/>
        </w:rPr>
        <w:t xml:space="preserve"> </w:t>
      </w:r>
      <w:r w:rsidR="008A4872">
        <w:rPr>
          <w:rStyle w:val="Hyperlink"/>
          <w:color w:val="000000" w:themeColor="text1"/>
          <w:highlight w:val="yellow"/>
          <w:u w:val="none"/>
        </w:rPr>
        <w:t>Available at:</w:t>
      </w:r>
      <w:r w:rsidRPr="0089722C">
        <w:rPr>
          <w:rStyle w:val="Hyperlink"/>
          <w:color w:val="000000" w:themeColor="text1"/>
          <w:highlight w:val="yellow"/>
          <w:u w:val="none"/>
        </w:rPr>
        <w:tab/>
      </w:r>
      <w:hyperlink r:id="rId40" w:history="1">
        <w:r w:rsidRPr="008A4872">
          <w:rPr>
            <w:rStyle w:val="Hyperlink"/>
            <w:color w:val="000000" w:themeColor="text1"/>
            <w:highlight w:val="yellow"/>
            <w:u w:val="none"/>
          </w:rPr>
          <w:t>https://www.oxfordlearnersdictionaries.com/us/definition/english/izzat</w:t>
        </w:r>
      </w:hyperlink>
      <w:r w:rsidR="00132B72">
        <w:rPr>
          <w:rStyle w:val="Hyperlink"/>
          <w:color w:val="000000" w:themeColor="text1"/>
          <w:highlight w:val="yellow"/>
          <w:u w:val="none"/>
        </w:rPr>
        <w:t xml:space="preserve"> </w:t>
      </w:r>
      <w:r w:rsidR="00132B72" w:rsidRPr="00132B72">
        <w:rPr>
          <w:highlight w:val="yellow"/>
        </w:rPr>
        <w:t xml:space="preserve">(Accessed: 1 </w:t>
      </w:r>
    </w:p>
    <w:p w14:paraId="50ECD309" w14:textId="6AD5421E" w:rsidR="008A4872" w:rsidRPr="00132B72" w:rsidRDefault="00132B72" w:rsidP="00132B72">
      <w:pPr>
        <w:ind w:firstLine="720"/>
        <w:rPr>
          <w:shd w:val="clear" w:color="auto" w:fill="FFFFFF"/>
        </w:rPr>
      </w:pPr>
      <w:r w:rsidRPr="00132B72">
        <w:rPr>
          <w:highlight w:val="yellow"/>
        </w:rPr>
        <w:t>November 2021)</w:t>
      </w:r>
    </w:p>
    <w:p w14:paraId="612AEB13" w14:textId="2573B459" w:rsidR="00C37EF4" w:rsidRDefault="00366418" w:rsidP="00C37EF4">
      <w:pPr>
        <w:rPr>
          <w:color w:val="000000" w:themeColor="text1"/>
        </w:rPr>
      </w:pPr>
      <w:proofErr w:type="spellStart"/>
      <w:r w:rsidRPr="00E51807">
        <w:t>Ragavan</w:t>
      </w:r>
      <w:proofErr w:type="spellEnd"/>
      <w:r w:rsidRPr="00E51807">
        <w:t>, M.</w:t>
      </w:r>
      <w:r w:rsidR="008A4872">
        <w:t xml:space="preserve"> and</w:t>
      </w:r>
      <w:r w:rsidRPr="00E51807">
        <w:t xml:space="preserve"> Iyengar, K. (2020) </w:t>
      </w:r>
      <w:r w:rsidR="008A4872">
        <w:t>‘</w:t>
      </w:r>
      <w:r w:rsidRPr="00E51807">
        <w:t xml:space="preserve">Violence </w:t>
      </w:r>
      <w:r w:rsidRPr="0018400B">
        <w:t>p</w:t>
      </w:r>
      <w:r w:rsidRPr="00E51807">
        <w:t xml:space="preserve">erpetrated by </w:t>
      </w:r>
      <w:r w:rsidRPr="0018400B">
        <w:t>m</w:t>
      </w:r>
      <w:r w:rsidRPr="00E51807">
        <w:t>others-in-</w:t>
      </w:r>
      <w:r w:rsidRPr="0018400B">
        <w:t>l</w:t>
      </w:r>
      <w:r w:rsidRPr="00E51807">
        <w:t xml:space="preserve">aw in </w:t>
      </w:r>
      <w:r w:rsidR="00006D4E">
        <w:t>n</w:t>
      </w:r>
      <w:r w:rsidRPr="00E51807">
        <w:t>orthern India:</w:t>
      </w:r>
      <w:r w:rsidRPr="0018400B">
        <w:tab/>
      </w:r>
      <w:r w:rsidRPr="00E51807">
        <w:t xml:space="preserve">Perceived </w:t>
      </w:r>
      <w:r w:rsidRPr="0018400B">
        <w:t>f</w:t>
      </w:r>
      <w:r w:rsidRPr="00E51807">
        <w:t xml:space="preserve">requency, </w:t>
      </w:r>
      <w:r w:rsidRPr="0018400B">
        <w:t>a</w:t>
      </w:r>
      <w:r w:rsidRPr="00E51807">
        <w:t xml:space="preserve">cceptability, and </w:t>
      </w:r>
      <w:r w:rsidRPr="0018400B">
        <w:t>o</w:t>
      </w:r>
      <w:r w:rsidRPr="00E51807">
        <w:t xml:space="preserve">ptions for </w:t>
      </w:r>
      <w:r w:rsidRPr="0018400B">
        <w:t>s</w:t>
      </w:r>
      <w:r w:rsidRPr="00E51807">
        <w:t>urvivors.</w:t>
      </w:r>
      <w:r w:rsidR="008A4872">
        <w:t xml:space="preserve">’, </w:t>
      </w:r>
      <w:r w:rsidRPr="00950C13">
        <w:rPr>
          <w:i/>
          <w:iCs/>
          <w:color w:val="000000" w:themeColor="text1"/>
        </w:rPr>
        <w:t>Journal of Interpersonal</w:t>
      </w:r>
      <w:r w:rsidRPr="00950C13">
        <w:rPr>
          <w:i/>
          <w:iCs/>
          <w:color w:val="000000" w:themeColor="text1"/>
        </w:rPr>
        <w:tab/>
        <w:t>Violence</w:t>
      </w:r>
      <w:r w:rsidRPr="00950C13">
        <w:rPr>
          <w:color w:val="000000" w:themeColor="text1"/>
        </w:rPr>
        <w:t xml:space="preserve">, 35(17–18), </w:t>
      </w:r>
      <w:r w:rsidR="008A4872">
        <w:rPr>
          <w:color w:val="000000" w:themeColor="text1"/>
        </w:rPr>
        <w:t>pp.</w:t>
      </w:r>
      <w:r w:rsidRPr="00950C13">
        <w:rPr>
          <w:color w:val="000000" w:themeColor="text1"/>
        </w:rPr>
        <w:t>3308–3330</w:t>
      </w:r>
      <w:r>
        <w:rPr>
          <w:color w:val="000000" w:themeColor="text1"/>
        </w:rPr>
        <w:t xml:space="preserve">. </w:t>
      </w:r>
      <w:r>
        <w:rPr>
          <w:color w:val="000000" w:themeColor="text1"/>
        </w:rPr>
        <w:tab/>
      </w:r>
      <w:hyperlink r:id="rId41" w:history="1">
        <w:r w:rsidRPr="006F5761">
          <w:rPr>
            <w:rStyle w:val="Hyperlink"/>
            <w:color w:val="000000" w:themeColor="text1"/>
            <w:u w:val="none"/>
          </w:rPr>
          <w:t>https://journals.sagepub.com/doi/10.1177/0886260517708759</w:t>
        </w:r>
      </w:hyperlink>
      <w:r w:rsidRPr="006F5761">
        <w:rPr>
          <w:color w:val="000000" w:themeColor="text1"/>
        </w:rPr>
        <w:tab/>
      </w:r>
    </w:p>
    <w:p w14:paraId="58C0D83A" w14:textId="7A4B690F" w:rsidR="00C37EF4" w:rsidRDefault="00C37EF4" w:rsidP="00047F82">
      <w:pPr>
        <w:rPr>
          <w:color w:val="000000" w:themeColor="text1"/>
        </w:rPr>
      </w:pPr>
      <w:r w:rsidRPr="00C37EF4">
        <w:rPr>
          <w:color w:val="000000" w:themeColor="text1"/>
          <w:highlight w:val="yellow"/>
        </w:rPr>
        <w:t>Rai, A.,</w:t>
      </w:r>
      <w:r w:rsidRPr="00C37EF4">
        <w:rPr>
          <w:b/>
          <w:bCs/>
          <w:color w:val="000000" w:themeColor="text1"/>
          <w:highlight w:val="yellow"/>
        </w:rPr>
        <w:t xml:space="preserve"> </w:t>
      </w:r>
      <w:r w:rsidRPr="00C37EF4">
        <w:rPr>
          <w:color w:val="000000" w:themeColor="text1"/>
          <w:highlight w:val="yellow"/>
        </w:rPr>
        <w:t>Choi, Y.J., Mowbray, O.</w:t>
      </w:r>
      <w:r w:rsidR="008A4872">
        <w:rPr>
          <w:color w:val="000000" w:themeColor="text1"/>
          <w:highlight w:val="yellow"/>
        </w:rPr>
        <w:t xml:space="preserve"> and</w:t>
      </w:r>
      <w:r w:rsidRPr="00C37EF4">
        <w:rPr>
          <w:color w:val="000000" w:themeColor="text1"/>
          <w:highlight w:val="yellow"/>
        </w:rPr>
        <w:t xml:space="preserve"> Elkins, J. (in press)</w:t>
      </w:r>
      <w:r w:rsidR="008A4872">
        <w:rPr>
          <w:color w:val="000000" w:themeColor="text1"/>
          <w:highlight w:val="yellow"/>
        </w:rPr>
        <w:t xml:space="preserve"> ‘</w:t>
      </w:r>
      <w:r w:rsidRPr="00C37EF4">
        <w:rPr>
          <w:color w:val="000000" w:themeColor="text1"/>
          <w:highlight w:val="yellow"/>
        </w:rPr>
        <w:t xml:space="preserve">Examining domestic violence </w:t>
      </w:r>
      <w:r w:rsidRPr="00C37EF4">
        <w:rPr>
          <w:color w:val="000000" w:themeColor="text1"/>
          <w:highlight w:val="yellow"/>
        </w:rPr>
        <w:tab/>
        <w:t xml:space="preserve">perceptions and its correlates among </w:t>
      </w:r>
      <w:r w:rsidR="00A16350">
        <w:rPr>
          <w:color w:val="000000" w:themeColor="text1"/>
          <w:highlight w:val="yellow"/>
        </w:rPr>
        <w:t>S</w:t>
      </w:r>
      <w:r w:rsidRPr="00C37EF4">
        <w:rPr>
          <w:color w:val="000000" w:themeColor="text1"/>
          <w:highlight w:val="yellow"/>
        </w:rPr>
        <w:t>outh Asian immigrants in the United States.</w:t>
      </w:r>
      <w:r w:rsidR="008A4872">
        <w:rPr>
          <w:color w:val="000000" w:themeColor="text1"/>
          <w:highlight w:val="yellow"/>
        </w:rPr>
        <w:t>’,</w:t>
      </w:r>
      <w:r w:rsidRPr="00C37EF4">
        <w:rPr>
          <w:color w:val="000000" w:themeColor="text1"/>
          <w:highlight w:val="yellow"/>
        </w:rPr>
        <w:tab/>
      </w:r>
      <w:r w:rsidRPr="00C37EF4">
        <w:rPr>
          <w:i/>
          <w:iCs/>
          <w:color w:val="000000" w:themeColor="text1"/>
          <w:highlight w:val="yellow"/>
        </w:rPr>
        <w:t xml:space="preserve"> </w:t>
      </w:r>
      <w:r w:rsidR="008A4872">
        <w:rPr>
          <w:i/>
          <w:iCs/>
          <w:color w:val="000000" w:themeColor="text1"/>
          <w:highlight w:val="yellow"/>
        </w:rPr>
        <w:tab/>
      </w:r>
      <w:r w:rsidRPr="00C37EF4">
        <w:rPr>
          <w:i/>
          <w:iCs/>
          <w:color w:val="000000" w:themeColor="text1"/>
          <w:highlight w:val="yellow"/>
        </w:rPr>
        <w:t>Partner Abuse.</w:t>
      </w:r>
    </w:p>
    <w:p w14:paraId="02B99212" w14:textId="398B0606" w:rsidR="005C13BD" w:rsidRPr="00CC2D59" w:rsidRDefault="00047F82" w:rsidP="005C13BD">
      <w:r w:rsidRPr="00047F82">
        <w:rPr>
          <w:highlight w:val="yellow"/>
        </w:rPr>
        <w:t>Rai, A.</w:t>
      </w:r>
      <w:r w:rsidR="008A4872">
        <w:rPr>
          <w:highlight w:val="yellow"/>
        </w:rPr>
        <w:t xml:space="preserve"> and</w:t>
      </w:r>
      <w:r w:rsidRPr="00047F82">
        <w:rPr>
          <w:highlight w:val="yellow"/>
        </w:rPr>
        <w:t xml:space="preserve"> Choi, Y. J. (2021)</w:t>
      </w:r>
      <w:r w:rsidR="008A4872">
        <w:rPr>
          <w:highlight w:val="yellow"/>
        </w:rPr>
        <w:t xml:space="preserve"> ‘</w:t>
      </w:r>
      <w:r w:rsidRPr="00047F82">
        <w:rPr>
          <w:highlight w:val="yellow"/>
        </w:rPr>
        <w:t xml:space="preserve">Domestic </w:t>
      </w:r>
      <w:r w:rsidR="00006D4E">
        <w:rPr>
          <w:highlight w:val="yellow"/>
        </w:rPr>
        <w:t>v</w:t>
      </w:r>
      <w:r w:rsidRPr="00047F82">
        <w:rPr>
          <w:highlight w:val="yellow"/>
        </w:rPr>
        <w:t xml:space="preserve">iolence </w:t>
      </w:r>
      <w:r w:rsidR="00006D4E">
        <w:rPr>
          <w:highlight w:val="yellow"/>
        </w:rPr>
        <w:t>v</w:t>
      </w:r>
      <w:r w:rsidRPr="00047F82">
        <w:rPr>
          <w:highlight w:val="yellow"/>
        </w:rPr>
        <w:t xml:space="preserve">ictimization among </w:t>
      </w:r>
      <w:r w:rsidR="00A16350">
        <w:rPr>
          <w:highlight w:val="yellow"/>
        </w:rPr>
        <w:t>S</w:t>
      </w:r>
      <w:r w:rsidRPr="00047F82">
        <w:rPr>
          <w:highlight w:val="yellow"/>
        </w:rPr>
        <w:t xml:space="preserve">outh Asian </w:t>
      </w:r>
      <w:r w:rsidR="00006D4E">
        <w:rPr>
          <w:highlight w:val="yellow"/>
        </w:rPr>
        <w:t>i</w:t>
      </w:r>
      <w:r w:rsidRPr="00047F82">
        <w:rPr>
          <w:highlight w:val="yellow"/>
        </w:rPr>
        <w:t xml:space="preserve">mmigrant </w:t>
      </w:r>
      <w:r w:rsidRPr="00AE2947">
        <w:rPr>
          <w:highlight w:val="yellow"/>
        </w:rPr>
        <w:tab/>
      </w:r>
      <w:r w:rsidR="00006D4E">
        <w:rPr>
          <w:highlight w:val="yellow"/>
        </w:rPr>
        <w:t>m</w:t>
      </w:r>
      <w:r w:rsidRPr="00047F82">
        <w:rPr>
          <w:highlight w:val="yellow"/>
        </w:rPr>
        <w:t xml:space="preserve">en and </w:t>
      </w:r>
      <w:r w:rsidR="00006D4E">
        <w:rPr>
          <w:highlight w:val="yellow"/>
        </w:rPr>
        <w:t>w</w:t>
      </w:r>
      <w:r w:rsidRPr="00047F82">
        <w:rPr>
          <w:highlight w:val="yellow"/>
        </w:rPr>
        <w:t>omen in the United States.</w:t>
      </w:r>
      <w:r w:rsidR="008A4872">
        <w:rPr>
          <w:highlight w:val="yellow"/>
        </w:rPr>
        <w:t>’,</w:t>
      </w:r>
      <w:r w:rsidRPr="00047F82">
        <w:rPr>
          <w:highlight w:val="yellow"/>
        </w:rPr>
        <w:t> </w:t>
      </w:r>
      <w:r w:rsidRPr="008A4872">
        <w:rPr>
          <w:i/>
          <w:iCs/>
          <w:highlight w:val="yellow"/>
        </w:rPr>
        <w:t>Journal of Interpersonal Violence</w:t>
      </w:r>
      <w:r w:rsidRPr="00047F82">
        <w:rPr>
          <w:highlight w:val="yellow"/>
        </w:rPr>
        <w:t xml:space="preserve">, </w:t>
      </w:r>
      <w:r w:rsidRPr="00AE2947">
        <w:rPr>
          <w:highlight w:val="yellow"/>
        </w:rPr>
        <w:tab/>
      </w:r>
      <w:hyperlink r:id="rId42" w:history="1">
        <w:r w:rsidRPr="00CC2D59">
          <w:rPr>
            <w:rStyle w:val="Hyperlink"/>
            <w:color w:val="auto"/>
            <w:highlight w:val="yellow"/>
            <w:u w:val="none"/>
          </w:rPr>
          <w:t>https://doi.org/10.1177%2F08862605211015262</w:t>
        </w:r>
      </w:hyperlink>
    </w:p>
    <w:p w14:paraId="32491453" w14:textId="5F5E9BB7" w:rsidR="00F004D9" w:rsidRDefault="00F805D0" w:rsidP="005C13BD">
      <w:pPr>
        <w:rPr>
          <w:highlight w:val="yellow"/>
        </w:rPr>
      </w:pPr>
      <w:r w:rsidRPr="00F805D0">
        <w:rPr>
          <w:highlight w:val="yellow"/>
        </w:rPr>
        <w:t xml:space="preserve">Rai, A. </w:t>
      </w:r>
      <w:r w:rsidR="002B239E">
        <w:rPr>
          <w:highlight w:val="yellow"/>
        </w:rPr>
        <w:t>(</w:t>
      </w:r>
      <w:r w:rsidRPr="00F805D0">
        <w:rPr>
          <w:highlight w:val="yellow"/>
        </w:rPr>
        <w:t>2020a</w:t>
      </w:r>
      <w:r w:rsidR="002B239E">
        <w:rPr>
          <w:highlight w:val="yellow"/>
        </w:rPr>
        <w:t>)</w:t>
      </w:r>
      <w:r w:rsidR="008A4872">
        <w:rPr>
          <w:highlight w:val="yellow"/>
        </w:rPr>
        <w:t xml:space="preserve"> </w:t>
      </w:r>
      <w:r w:rsidR="00B165CC" w:rsidRPr="007E329B">
        <w:rPr>
          <w:highlight w:val="yellow"/>
        </w:rPr>
        <w:t>‘</w:t>
      </w:r>
      <w:r w:rsidRPr="007E329B">
        <w:rPr>
          <w:highlight w:val="yellow"/>
        </w:rPr>
        <w:t xml:space="preserve">Perceptions, prevalence and help‐seeking resources of domestic violence among </w:t>
      </w:r>
      <w:r w:rsidRPr="007E329B">
        <w:rPr>
          <w:highlight w:val="yellow"/>
        </w:rPr>
        <w:tab/>
      </w:r>
      <w:r w:rsidR="00B165CC" w:rsidRPr="007E329B">
        <w:rPr>
          <w:highlight w:val="yellow"/>
        </w:rPr>
        <w:t>S</w:t>
      </w:r>
      <w:r w:rsidRPr="007E329B">
        <w:rPr>
          <w:highlight w:val="yellow"/>
        </w:rPr>
        <w:t>outh Asian immigrants in the United States</w:t>
      </w:r>
      <w:r w:rsidR="007E329B" w:rsidRPr="007E329B">
        <w:rPr>
          <w:highlight w:val="yellow"/>
        </w:rPr>
        <w:t>’</w:t>
      </w:r>
      <w:r w:rsidR="00006D4E" w:rsidRPr="007E329B">
        <w:rPr>
          <w:highlight w:val="yellow"/>
        </w:rPr>
        <w:t>.</w:t>
      </w:r>
      <w:r w:rsidR="00006D4E">
        <w:rPr>
          <w:highlight w:val="yellow"/>
        </w:rPr>
        <w:t xml:space="preserve"> Ph.D. </w:t>
      </w:r>
      <w:r w:rsidRPr="00F805D0">
        <w:rPr>
          <w:highlight w:val="yellow"/>
        </w:rPr>
        <w:t>dissertation</w:t>
      </w:r>
      <w:r w:rsidR="00006D4E">
        <w:rPr>
          <w:highlight w:val="yellow"/>
        </w:rPr>
        <w:t xml:space="preserve">, </w:t>
      </w:r>
      <w:r w:rsidRPr="00F805D0">
        <w:rPr>
          <w:highlight w:val="yellow"/>
        </w:rPr>
        <w:t>University of Georgia</w:t>
      </w:r>
      <w:r w:rsidR="00F004D9">
        <w:rPr>
          <w:highlight w:val="yellow"/>
        </w:rPr>
        <w:t xml:space="preserve">, </w:t>
      </w:r>
    </w:p>
    <w:p w14:paraId="35D5E0DF" w14:textId="16A77BE7" w:rsidR="00F805D0" w:rsidRDefault="00F004D9" w:rsidP="00F004D9">
      <w:pPr>
        <w:ind w:firstLine="720"/>
      </w:pPr>
      <w:r>
        <w:rPr>
          <w:highlight w:val="yellow"/>
        </w:rPr>
        <w:t>Athens</w:t>
      </w:r>
      <w:r w:rsidR="00F805D0" w:rsidRPr="00F805D0">
        <w:t xml:space="preserve"> </w:t>
      </w:r>
    </w:p>
    <w:p w14:paraId="607CE858" w14:textId="30515F79" w:rsidR="005C13BD" w:rsidRPr="0037133D" w:rsidRDefault="005C13BD" w:rsidP="005C13BD">
      <w:r w:rsidRPr="005C13BD">
        <w:rPr>
          <w:highlight w:val="yellow"/>
        </w:rPr>
        <w:t>Rai, A. (2020</w:t>
      </w:r>
      <w:r w:rsidRPr="00F805D0">
        <w:rPr>
          <w:highlight w:val="yellow"/>
        </w:rPr>
        <w:t>b</w:t>
      </w:r>
      <w:r w:rsidRPr="005C13BD">
        <w:rPr>
          <w:highlight w:val="yellow"/>
        </w:rPr>
        <w:t>)</w:t>
      </w:r>
      <w:r w:rsidRPr="005C13BD">
        <w:rPr>
          <w:b/>
          <w:bCs/>
          <w:highlight w:val="yellow"/>
        </w:rPr>
        <w:t xml:space="preserve"> </w:t>
      </w:r>
      <w:r w:rsidR="00006D4E">
        <w:rPr>
          <w:b/>
          <w:bCs/>
          <w:highlight w:val="yellow"/>
        </w:rPr>
        <w:t>‘</w:t>
      </w:r>
      <w:r w:rsidRPr="005C13BD">
        <w:rPr>
          <w:highlight w:val="yellow"/>
        </w:rPr>
        <w:t xml:space="preserve">Indirect </w:t>
      </w:r>
      <w:r w:rsidR="00006D4E">
        <w:rPr>
          <w:highlight w:val="yellow"/>
        </w:rPr>
        <w:t>e</w:t>
      </w:r>
      <w:r w:rsidRPr="005C13BD">
        <w:rPr>
          <w:highlight w:val="yellow"/>
        </w:rPr>
        <w:t xml:space="preserve">xperiences with </w:t>
      </w:r>
      <w:r w:rsidR="00006D4E">
        <w:rPr>
          <w:highlight w:val="yellow"/>
        </w:rPr>
        <w:t>d</w:t>
      </w:r>
      <w:r w:rsidRPr="005C13BD">
        <w:rPr>
          <w:highlight w:val="yellow"/>
        </w:rPr>
        <w:t xml:space="preserve">omestic </w:t>
      </w:r>
      <w:r w:rsidR="00006D4E">
        <w:rPr>
          <w:highlight w:val="yellow"/>
        </w:rPr>
        <w:t>v</w:t>
      </w:r>
      <w:r w:rsidRPr="005C13BD">
        <w:rPr>
          <w:highlight w:val="yellow"/>
        </w:rPr>
        <w:t xml:space="preserve">iolence and </w:t>
      </w:r>
      <w:r w:rsidR="00006D4E">
        <w:rPr>
          <w:highlight w:val="yellow"/>
        </w:rPr>
        <w:t>he</w:t>
      </w:r>
      <w:r w:rsidRPr="005C13BD">
        <w:rPr>
          <w:highlight w:val="yellow"/>
        </w:rPr>
        <w:t xml:space="preserve">lp-giving among </w:t>
      </w:r>
      <w:r w:rsidR="009E64E3">
        <w:rPr>
          <w:highlight w:val="yellow"/>
        </w:rPr>
        <w:t>S</w:t>
      </w:r>
      <w:r w:rsidRPr="005C13BD">
        <w:rPr>
          <w:highlight w:val="yellow"/>
        </w:rPr>
        <w:t xml:space="preserve">outh </w:t>
      </w:r>
      <w:r>
        <w:rPr>
          <w:highlight w:val="yellow"/>
        </w:rPr>
        <w:tab/>
      </w:r>
      <w:r w:rsidRPr="005C13BD">
        <w:rPr>
          <w:highlight w:val="yellow"/>
        </w:rPr>
        <w:t xml:space="preserve">Asian </w:t>
      </w:r>
      <w:r w:rsidR="00006D4E">
        <w:rPr>
          <w:highlight w:val="yellow"/>
        </w:rPr>
        <w:t>i</w:t>
      </w:r>
      <w:r w:rsidRPr="005C13BD">
        <w:rPr>
          <w:highlight w:val="yellow"/>
        </w:rPr>
        <w:t>mmigrants in the United States.</w:t>
      </w:r>
      <w:r w:rsidR="00006D4E">
        <w:rPr>
          <w:highlight w:val="yellow"/>
        </w:rPr>
        <w:t>’,</w:t>
      </w:r>
      <w:r w:rsidRPr="005C13BD">
        <w:rPr>
          <w:highlight w:val="yellow"/>
        </w:rPr>
        <w:t xml:space="preserve"> </w:t>
      </w:r>
      <w:r w:rsidRPr="005C13BD">
        <w:rPr>
          <w:i/>
          <w:iCs/>
          <w:highlight w:val="yellow"/>
        </w:rPr>
        <w:t xml:space="preserve">Journal of Community Psychology, </w:t>
      </w:r>
      <w:r w:rsidR="00006D4E">
        <w:rPr>
          <w:highlight w:val="yellow"/>
        </w:rPr>
        <w:t>pp.</w:t>
      </w:r>
      <w:r w:rsidRPr="005C13BD">
        <w:rPr>
          <w:highlight w:val="yellow"/>
        </w:rPr>
        <w:t>1-20</w:t>
      </w:r>
      <w:r w:rsidRPr="0037133D">
        <w:rPr>
          <w:highlight w:val="yellow"/>
        </w:rPr>
        <w:t xml:space="preserve">. </w:t>
      </w:r>
      <w:hyperlink r:id="rId43" w:history="1">
        <w:proofErr w:type="spellStart"/>
        <w:r w:rsidRPr="0037133D">
          <w:rPr>
            <w:rStyle w:val="Hyperlink"/>
            <w:color w:val="auto"/>
            <w:highlight w:val="yellow"/>
            <w:u w:val="none"/>
          </w:rPr>
          <w:t>doi</w:t>
        </w:r>
        <w:proofErr w:type="spellEnd"/>
        <w:r w:rsidRPr="0037133D">
          <w:rPr>
            <w:rStyle w:val="Hyperlink"/>
            <w:color w:val="auto"/>
            <w:highlight w:val="yellow"/>
            <w:u w:val="none"/>
          </w:rPr>
          <w:t xml:space="preserve">: </w:t>
        </w:r>
        <w:r w:rsidRPr="0037133D">
          <w:rPr>
            <w:rStyle w:val="Hyperlink"/>
            <w:color w:val="auto"/>
            <w:highlight w:val="yellow"/>
            <w:u w:val="none"/>
          </w:rPr>
          <w:tab/>
          <w:t>10.1002/jcop.22492</w:t>
        </w:r>
      </w:hyperlink>
      <w:r w:rsidRPr="0037133D">
        <w:t xml:space="preserve"> </w:t>
      </w:r>
    </w:p>
    <w:p w14:paraId="03F9BAB1" w14:textId="4C31FC4A" w:rsidR="005C13BD" w:rsidRDefault="00AE2947" w:rsidP="005C13BD">
      <w:pPr>
        <w:rPr>
          <w:rStyle w:val="Hyperlink"/>
          <w:rFonts w:eastAsia="MS Mincho"/>
          <w:color w:val="000000" w:themeColor="text1"/>
        </w:rPr>
      </w:pPr>
      <w:r w:rsidRPr="00AE2947">
        <w:rPr>
          <w:bCs/>
          <w:color w:val="000000" w:themeColor="text1"/>
          <w:highlight w:val="yellow"/>
        </w:rPr>
        <w:t>Rai, A.</w:t>
      </w:r>
      <w:r w:rsidR="00006D4E">
        <w:rPr>
          <w:bCs/>
          <w:color w:val="000000" w:themeColor="text1"/>
          <w:highlight w:val="yellow"/>
        </w:rPr>
        <w:t xml:space="preserve"> and</w:t>
      </w:r>
      <w:r w:rsidRPr="00AE2947">
        <w:rPr>
          <w:color w:val="000000" w:themeColor="text1"/>
          <w:highlight w:val="yellow"/>
        </w:rPr>
        <w:t xml:space="preserve"> Choi, Y. J. (2018) </w:t>
      </w:r>
      <w:r w:rsidR="00006D4E">
        <w:rPr>
          <w:color w:val="000000" w:themeColor="text1"/>
          <w:highlight w:val="yellow"/>
        </w:rPr>
        <w:t>‘</w:t>
      </w:r>
      <w:r w:rsidRPr="00AE2947">
        <w:rPr>
          <w:color w:val="000000" w:themeColor="text1"/>
          <w:highlight w:val="yellow"/>
        </w:rPr>
        <w:t xml:space="preserve">Socio-cultural risk factors impacting domestic violence among </w:t>
      </w:r>
      <w:r w:rsidRPr="00AE2947">
        <w:rPr>
          <w:color w:val="000000" w:themeColor="text1"/>
          <w:highlight w:val="yellow"/>
        </w:rPr>
        <w:tab/>
      </w:r>
      <w:r w:rsidR="00006D4E">
        <w:rPr>
          <w:color w:val="000000" w:themeColor="text1"/>
          <w:highlight w:val="yellow"/>
        </w:rPr>
        <w:t>s</w:t>
      </w:r>
      <w:r w:rsidRPr="00AE2947">
        <w:rPr>
          <w:color w:val="000000" w:themeColor="text1"/>
          <w:highlight w:val="yellow"/>
        </w:rPr>
        <w:t>outh Asian immigrant women: A scoping review.</w:t>
      </w:r>
      <w:r w:rsidR="00006D4E">
        <w:rPr>
          <w:color w:val="000000" w:themeColor="text1"/>
          <w:highlight w:val="yellow"/>
        </w:rPr>
        <w:t xml:space="preserve">’, </w:t>
      </w:r>
      <w:r w:rsidRPr="00AE2947">
        <w:rPr>
          <w:i/>
          <w:color w:val="000000" w:themeColor="text1"/>
          <w:highlight w:val="yellow"/>
        </w:rPr>
        <w:t xml:space="preserve">Aggression and Violent </w:t>
      </w:r>
      <w:r w:rsidR="00006D4E">
        <w:rPr>
          <w:i/>
          <w:color w:val="000000" w:themeColor="text1"/>
          <w:highlight w:val="yellow"/>
        </w:rPr>
        <w:tab/>
      </w:r>
      <w:r w:rsidRPr="00AE2947">
        <w:rPr>
          <w:i/>
          <w:color w:val="000000" w:themeColor="text1"/>
          <w:highlight w:val="yellow"/>
        </w:rPr>
        <w:t>Behavior</w:t>
      </w:r>
      <w:r w:rsidRPr="00006D4E">
        <w:rPr>
          <w:iCs/>
          <w:color w:val="000000" w:themeColor="text1"/>
          <w:highlight w:val="yellow"/>
        </w:rPr>
        <w:t>, 38</w:t>
      </w:r>
      <w:r w:rsidRPr="00AE2947">
        <w:rPr>
          <w:color w:val="000000" w:themeColor="text1"/>
          <w:highlight w:val="yellow"/>
        </w:rPr>
        <w:t xml:space="preserve">, </w:t>
      </w:r>
      <w:r w:rsidR="00006D4E">
        <w:rPr>
          <w:color w:val="000000" w:themeColor="text1"/>
          <w:highlight w:val="yellow"/>
        </w:rPr>
        <w:t>pp.</w:t>
      </w:r>
      <w:r w:rsidRPr="00AE2947">
        <w:rPr>
          <w:color w:val="000000" w:themeColor="text1"/>
          <w:highlight w:val="yellow"/>
        </w:rPr>
        <w:t xml:space="preserve">76-85. </w:t>
      </w:r>
      <w:hyperlink r:id="rId44" w:history="1">
        <w:r w:rsidRPr="00006D4E">
          <w:rPr>
            <w:rStyle w:val="Hyperlink"/>
            <w:rFonts w:eastAsia="MS Mincho"/>
            <w:color w:val="000000" w:themeColor="text1"/>
            <w:highlight w:val="yellow"/>
            <w:u w:val="none"/>
          </w:rPr>
          <w:t>https://doi.org/10.1016/j.avb.2017.12.001</w:t>
        </w:r>
      </w:hyperlink>
    </w:p>
    <w:p w14:paraId="2FDFE313" w14:textId="48CAC9AA" w:rsidR="005C13BD" w:rsidRPr="005C13BD" w:rsidRDefault="005C13BD" w:rsidP="005C13BD">
      <w:pPr>
        <w:rPr>
          <w:rFonts w:eastAsia="MS Mincho"/>
          <w:color w:val="000000" w:themeColor="text1"/>
          <w:highlight w:val="yellow"/>
          <w:u w:val="single"/>
        </w:rPr>
      </w:pPr>
      <w:r w:rsidRPr="005C13BD">
        <w:rPr>
          <w:highlight w:val="yellow"/>
        </w:rPr>
        <w:lastRenderedPageBreak/>
        <w:t>Rai, A., Perkins, N.</w:t>
      </w:r>
      <w:r w:rsidR="00006D4E">
        <w:rPr>
          <w:highlight w:val="yellow"/>
        </w:rPr>
        <w:t xml:space="preserve"> and</w:t>
      </w:r>
      <w:r w:rsidRPr="005C13BD">
        <w:rPr>
          <w:highlight w:val="yellow"/>
        </w:rPr>
        <w:t xml:space="preserve"> Grossman, S. (2020)</w:t>
      </w:r>
      <w:r w:rsidR="00006D4E">
        <w:rPr>
          <w:highlight w:val="yellow"/>
        </w:rPr>
        <w:t xml:space="preserve"> ‘</w:t>
      </w:r>
      <w:r w:rsidRPr="005C13BD">
        <w:rPr>
          <w:highlight w:val="yellow"/>
        </w:rPr>
        <w:t xml:space="preserve">The effects of COVID-19 on     </w:t>
      </w:r>
    </w:p>
    <w:p w14:paraId="3B172B9D" w14:textId="26E0F563" w:rsidR="005C13BD" w:rsidRPr="005C13BD" w:rsidRDefault="005C13BD" w:rsidP="005C13BD">
      <w:pPr>
        <w:rPr>
          <w:highlight w:val="yellow"/>
        </w:rPr>
      </w:pPr>
      <w:r w:rsidRPr="005C13BD">
        <w:rPr>
          <w:highlight w:val="yellow"/>
        </w:rPr>
        <w:t xml:space="preserve">            domestic violence and immigrant families.</w:t>
      </w:r>
      <w:r w:rsidR="00006D4E">
        <w:rPr>
          <w:highlight w:val="yellow"/>
        </w:rPr>
        <w:t>’,</w:t>
      </w:r>
      <w:r w:rsidRPr="005C13BD">
        <w:rPr>
          <w:highlight w:val="yellow"/>
        </w:rPr>
        <w:t xml:space="preserve"> </w:t>
      </w:r>
      <w:r w:rsidRPr="005C13BD">
        <w:rPr>
          <w:i/>
          <w:iCs/>
          <w:highlight w:val="yellow"/>
        </w:rPr>
        <w:t>Greenwich Social Work Review</w:t>
      </w:r>
      <w:r w:rsidRPr="00006D4E">
        <w:rPr>
          <w:highlight w:val="yellow"/>
        </w:rPr>
        <w:t>, 2</w:t>
      </w:r>
      <w:r w:rsidRPr="005C13BD">
        <w:rPr>
          <w:highlight w:val="yellow"/>
        </w:rPr>
        <w:t xml:space="preserve">(1), </w:t>
      </w:r>
      <w:r w:rsidR="00006D4E">
        <w:rPr>
          <w:highlight w:val="yellow"/>
        </w:rPr>
        <w:t>pp.</w:t>
      </w:r>
      <w:r w:rsidRPr="005C13BD">
        <w:rPr>
          <w:highlight w:val="yellow"/>
        </w:rPr>
        <w:t xml:space="preserve">84-     </w:t>
      </w:r>
    </w:p>
    <w:p w14:paraId="36FCB8B9" w14:textId="2CDD3BD8" w:rsidR="005C13BD" w:rsidRPr="00047F82" w:rsidRDefault="005C13BD" w:rsidP="00047F82">
      <w:r w:rsidRPr="005C13BD">
        <w:rPr>
          <w:highlight w:val="yellow"/>
        </w:rPr>
        <w:t xml:space="preserve">            96. </w:t>
      </w:r>
      <w:hyperlink r:id="rId45" w:history="1">
        <w:r w:rsidRPr="0018481A">
          <w:rPr>
            <w:rStyle w:val="Hyperlink"/>
            <w:color w:val="auto"/>
            <w:highlight w:val="yellow"/>
            <w:u w:val="none"/>
          </w:rPr>
          <w:t>https://doi.org/10.21100/gswr.v1i2.1161</w:t>
        </w:r>
      </w:hyperlink>
      <w:r w:rsidRPr="0018481A">
        <w:t xml:space="preserve"> </w:t>
      </w:r>
    </w:p>
    <w:p w14:paraId="63D817E7" w14:textId="440CD3E3" w:rsidR="00366418" w:rsidRPr="0018400B" w:rsidRDefault="00366418" w:rsidP="00366418">
      <w:r w:rsidRPr="000753AF">
        <w:t>Raj, A.</w:t>
      </w:r>
      <w:r w:rsidR="00006D4E">
        <w:t xml:space="preserve"> and</w:t>
      </w:r>
      <w:r w:rsidRPr="000753AF">
        <w:t xml:space="preserve"> Silverman, J.</w:t>
      </w:r>
      <w:r w:rsidRPr="0018400B">
        <w:t>G.</w:t>
      </w:r>
      <w:r w:rsidRPr="000753AF">
        <w:t xml:space="preserve"> (2002)</w:t>
      </w:r>
      <w:r w:rsidR="00006D4E">
        <w:t xml:space="preserve"> ‘</w:t>
      </w:r>
      <w:r w:rsidRPr="000753AF">
        <w:t xml:space="preserve">Intimate partner violence amongst </w:t>
      </w:r>
      <w:r w:rsidR="0018481A">
        <w:t>S</w:t>
      </w:r>
      <w:r w:rsidRPr="000753AF">
        <w:t>outh Asian women in</w:t>
      </w:r>
      <w:r w:rsidRPr="0018400B">
        <w:tab/>
      </w:r>
      <w:r w:rsidR="00006D4E">
        <w:t>g</w:t>
      </w:r>
      <w:r w:rsidRPr="000753AF">
        <w:t>reater Boston.</w:t>
      </w:r>
      <w:r w:rsidR="00006D4E">
        <w:t>’,</w:t>
      </w:r>
      <w:r w:rsidRPr="000753AF">
        <w:t xml:space="preserve"> </w:t>
      </w:r>
      <w:r w:rsidRPr="000753AF">
        <w:rPr>
          <w:i/>
          <w:iCs/>
        </w:rPr>
        <w:t>Journal of the American Medical Women’s Association</w:t>
      </w:r>
      <w:r w:rsidRPr="000753AF">
        <w:t xml:space="preserve">, 57(2), </w:t>
      </w:r>
      <w:r w:rsidR="00006D4E">
        <w:t>pp.</w:t>
      </w:r>
      <w:r w:rsidRPr="000753AF">
        <w:t>111–</w:t>
      </w:r>
      <w:r w:rsidR="00006D4E">
        <w:tab/>
      </w:r>
      <w:r w:rsidRPr="000753AF">
        <w:t>114.</w:t>
      </w:r>
    </w:p>
    <w:p w14:paraId="7419D4B4" w14:textId="79168068" w:rsidR="00366418" w:rsidRDefault="00366418" w:rsidP="00366418">
      <w:pPr>
        <w:rPr>
          <w:rStyle w:val="Hyperlink"/>
          <w:color w:val="000000" w:themeColor="text1"/>
          <w:u w:val="none"/>
        </w:rPr>
      </w:pPr>
      <w:r w:rsidRPr="003C6AA4">
        <w:t xml:space="preserve">Raj, A., </w:t>
      </w:r>
      <w:proofErr w:type="spellStart"/>
      <w:r w:rsidRPr="003C6AA4">
        <w:t>Livramento</w:t>
      </w:r>
      <w:proofErr w:type="spellEnd"/>
      <w:r w:rsidRPr="003C6AA4">
        <w:t>, K. N., Santana, M. C., Gupta, J.</w:t>
      </w:r>
      <w:r w:rsidR="00006D4E">
        <w:t xml:space="preserve"> and </w:t>
      </w:r>
      <w:r w:rsidRPr="003C6AA4">
        <w:t>Silverman, J. G. (2006)</w:t>
      </w:r>
      <w:r w:rsidR="00006D4E">
        <w:t xml:space="preserve"> ‘</w:t>
      </w:r>
      <w:r w:rsidRPr="003C6AA4">
        <w:t>Victims of</w:t>
      </w:r>
      <w:r w:rsidRPr="0018400B">
        <w:tab/>
      </w:r>
      <w:r w:rsidRPr="003C6AA4">
        <w:t>intimate partner violence more likely to report abuse from in-laws.</w:t>
      </w:r>
      <w:r w:rsidR="00006D4E">
        <w:t xml:space="preserve">’, </w:t>
      </w:r>
      <w:r w:rsidRPr="003C6AA4">
        <w:rPr>
          <w:i/>
          <w:iCs/>
        </w:rPr>
        <w:t>Violence Against</w:t>
      </w:r>
      <w:r w:rsidRPr="0018400B">
        <w:rPr>
          <w:i/>
          <w:iCs/>
        </w:rPr>
        <w:tab/>
      </w:r>
      <w:r w:rsidRPr="003C6AA4">
        <w:rPr>
          <w:i/>
          <w:iCs/>
        </w:rPr>
        <w:t>Women</w:t>
      </w:r>
      <w:r w:rsidRPr="003C6AA4">
        <w:t xml:space="preserve">, 12, </w:t>
      </w:r>
      <w:r w:rsidR="00006D4E">
        <w:t>pp.</w:t>
      </w:r>
      <w:r w:rsidRPr="003C6AA4">
        <w:t xml:space="preserve">936–949. </w:t>
      </w:r>
      <w:proofErr w:type="spellStart"/>
      <w:r w:rsidRPr="003C6AA4">
        <w:t>doi</w:t>
      </w:r>
      <w:proofErr w:type="spellEnd"/>
      <w:r w:rsidRPr="003C6AA4">
        <w:t xml:space="preserve">: </w:t>
      </w:r>
      <w:hyperlink r:id="rId46" w:history="1">
        <w:r w:rsidRPr="006F5761">
          <w:rPr>
            <w:rStyle w:val="Hyperlink"/>
            <w:color w:val="000000" w:themeColor="text1"/>
            <w:u w:val="none"/>
          </w:rPr>
          <w:t>10.1177/1077801206292935</w:t>
        </w:r>
      </w:hyperlink>
    </w:p>
    <w:p w14:paraId="55982FA4" w14:textId="77A83609" w:rsidR="00A74302" w:rsidRPr="00A74302" w:rsidRDefault="00A74302" w:rsidP="00A74302">
      <w:pPr>
        <w:ind w:left="480" w:hanging="480"/>
        <w:rPr>
          <w:rStyle w:val="Hyperlink"/>
          <w:color w:val="000000"/>
          <w:u w:val="none"/>
        </w:rPr>
      </w:pPr>
      <w:r w:rsidRPr="00A74302">
        <w:rPr>
          <w:color w:val="000000"/>
          <w:highlight w:val="yellow"/>
        </w:rPr>
        <w:t>Reddy, S. (2019)</w:t>
      </w:r>
      <w:r w:rsidR="00006D4E">
        <w:rPr>
          <w:color w:val="000000"/>
          <w:highlight w:val="yellow"/>
        </w:rPr>
        <w:t xml:space="preserve"> ‘</w:t>
      </w:r>
      <w:r w:rsidRPr="00A74302">
        <w:rPr>
          <w:color w:val="000000"/>
          <w:highlight w:val="yellow"/>
        </w:rPr>
        <w:t xml:space="preserve">If we’re not serving our own community, no one else would”: The lived experience of workers in ethnically similar therapeutic dyads at </w:t>
      </w:r>
      <w:r w:rsidR="00454666">
        <w:rPr>
          <w:color w:val="000000"/>
          <w:highlight w:val="yellow"/>
        </w:rPr>
        <w:t>s</w:t>
      </w:r>
      <w:r w:rsidRPr="00A74302">
        <w:rPr>
          <w:color w:val="000000"/>
          <w:highlight w:val="yellow"/>
        </w:rPr>
        <w:t>outh Asian women’s organizations.</w:t>
      </w:r>
      <w:r w:rsidR="00454666">
        <w:rPr>
          <w:color w:val="000000"/>
          <w:highlight w:val="yellow"/>
        </w:rPr>
        <w:t>’,</w:t>
      </w:r>
      <w:r w:rsidRPr="00A74302">
        <w:rPr>
          <w:color w:val="000000"/>
          <w:highlight w:val="yellow"/>
        </w:rPr>
        <w:t xml:space="preserve"> </w:t>
      </w:r>
      <w:r w:rsidRPr="00A74302">
        <w:rPr>
          <w:i/>
          <w:iCs/>
          <w:color w:val="000000"/>
          <w:highlight w:val="yellow"/>
        </w:rPr>
        <w:t>Journal of Ethnic &amp; Cultural Diversity in Social Work</w:t>
      </w:r>
      <w:r w:rsidRPr="00A74302">
        <w:rPr>
          <w:color w:val="000000"/>
          <w:highlight w:val="yellow"/>
        </w:rPr>
        <w:t xml:space="preserve">, </w:t>
      </w:r>
      <w:r w:rsidRPr="00CC2D59">
        <w:rPr>
          <w:color w:val="000000"/>
          <w:highlight w:val="yellow"/>
        </w:rPr>
        <w:t>28</w:t>
      </w:r>
      <w:r w:rsidRPr="00A74302">
        <w:rPr>
          <w:color w:val="000000"/>
          <w:highlight w:val="yellow"/>
        </w:rPr>
        <w:t xml:space="preserve">(11), </w:t>
      </w:r>
      <w:r w:rsidR="00454666">
        <w:rPr>
          <w:color w:val="000000"/>
          <w:highlight w:val="yellow"/>
        </w:rPr>
        <w:t>pp.</w:t>
      </w:r>
      <w:r w:rsidRPr="00A74302">
        <w:rPr>
          <w:color w:val="000000"/>
          <w:highlight w:val="yellow"/>
        </w:rPr>
        <w:t>1–16. https://doi.org/10.1080/15313204.2019.1570894</w:t>
      </w:r>
    </w:p>
    <w:p w14:paraId="2530C929" w14:textId="65A03058" w:rsidR="00F5660D" w:rsidRPr="00F5660D" w:rsidRDefault="00F5660D" w:rsidP="00F5660D">
      <w:pPr>
        <w:contextualSpacing/>
        <w:outlineLvl w:val="0"/>
        <w:rPr>
          <w:color w:val="000000" w:themeColor="text1"/>
          <w:highlight w:val="yellow"/>
        </w:rPr>
      </w:pPr>
      <w:r w:rsidRPr="00F5660D">
        <w:rPr>
          <w:color w:val="000000" w:themeColor="text1"/>
          <w:highlight w:val="yellow"/>
        </w:rPr>
        <w:t xml:space="preserve">Sabri, B., </w:t>
      </w:r>
      <w:proofErr w:type="spellStart"/>
      <w:r w:rsidRPr="00F5660D">
        <w:rPr>
          <w:color w:val="000000" w:themeColor="text1"/>
          <w:highlight w:val="yellow"/>
        </w:rPr>
        <w:t>Simonet</w:t>
      </w:r>
      <w:proofErr w:type="spellEnd"/>
      <w:r w:rsidRPr="00F5660D">
        <w:rPr>
          <w:color w:val="000000" w:themeColor="text1"/>
          <w:highlight w:val="yellow"/>
        </w:rPr>
        <w:t xml:space="preserve">, M. </w:t>
      </w:r>
      <w:r w:rsidR="00454666">
        <w:rPr>
          <w:color w:val="000000" w:themeColor="text1"/>
          <w:highlight w:val="yellow"/>
        </w:rPr>
        <w:t>and</w:t>
      </w:r>
      <w:r w:rsidRPr="00F5660D">
        <w:rPr>
          <w:color w:val="000000" w:themeColor="text1"/>
          <w:highlight w:val="yellow"/>
        </w:rPr>
        <w:t xml:space="preserve"> Campbell, J.C. (2018)</w:t>
      </w:r>
      <w:r w:rsidR="00454666">
        <w:rPr>
          <w:color w:val="000000" w:themeColor="text1"/>
          <w:highlight w:val="yellow"/>
        </w:rPr>
        <w:t xml:space="preserve"> ‘</w:t>
      </w:r>
      <w:r w:rsidRPr="00F5660D">
        <w:rPr>
          <w:color w:val="000000" w:themeColor="text1"/>
          <w:highlight w:val="yellow"/>
        </w:rPr>
        <w:t xml:space="preserve">Risk and protective factors of intimate partner </w:t>
      </w:r>
    </w:p>
    <w:p w14:paraId="366D966E" w14:textId="19DBFE18" w:rsidR="00F5660D" w:rsidRPr="00454666" w:rsidRDefault="00F5660D" w:rsidP="00366418">
      <w:pPr>
        <w:contextualSpacing/>
        <w:rPr>
          <w:color w:val="000000" w:themeColor="text1"/>
        </w:rPr>
      </w:pPr>
      <w:r w:rsidRPr="00F5660D">
        <w:rPr>
          <w:color w:val="000000" w:themeColor="text1"/>
          <w:highlight w:val="yellow"/>
        </w:rPr>
        <w:tab/>
        <w:t xml:space="preserve">violence among </w:t>
      </w:r>
      <w:r w:rsidR="005E7B94">
        <w:rPr>
          <w:color w:val="000000" w:themeColor="text1"/>
          <w:highlight w:val="yellow"/>
        </w:rPr>
        <w:t>S</w:t>
      </w:r>
      <w:r w:rsidRPr="00F5660D">
        <w:rPr>
          <w:color w:val="000000" w:themeColor="text1"/>
          <w:highlight w:val="yellow"/>
        </w:rPr>
        <w:t>outh Asian immigrant women and perceived need for services.</w:t>
      </w:r>
      <w:r w:rsidR="00454666">
        <w:rPr>
          <w:color w:val="000000" w:themeColor="text1"/>
          <w:highlight w:val="yellow"/>
        </w:rPr>
        <w:t>’,</w:t>
      </w:r>
      <w:r w:rsidRPr="00F5660D">
        <w:rPr>
          <w:color w:val="000000" w:themeColor="text1"/>
          <w:highlight w:val="yellow"/>
        </w:rPr>
        <w:t xml:space="preserve"> </w:t>
      </w:r>
      <w:r w:rsidR="00454666">
        <w:rPr>
          <w:color w:val="000000" w:themeColor="text1"/>
          <w:highlight w:val="yellow"/>
        </w:rPr>
        <w:tab/>
      </w:r>
      <w:r w:rsidRPr="00F5660D">
        <w:rPr>
          <w:i/>
          <w:color w:val="000000" w:themeColor="text1"/>
          <w:highlight w:val="yellow"/>
        </w:rPr>
        <w:t>Cultural Diversity and Ethnic Minority Psychology</w:t>
      </w:r>
      <w:r w:rsidRPr="00F5660D">
        <w:rPr>
          <w:color w:val="000000" w:themeColor="text1"/>
          <w:highlight w:val="yellow"/>
        </w:rPr>
        <w:t xml:space="preserve">, </w:t>
      </w:r>
      <w:r w:rsidRPr="00454666">
        <w:rPr>
          <w:color w:val="000000" w:themeColor="text1"/>
          <w:highlight w:val="yellow"/>
        </w:rPr>
        <w:t>24</w:t>
      </w:r>
      <w:r w:rsidRPr="00F5660D">
        <w:rPr>
          <w:color w:val="000000" w:themeColor="text1"/>
          <w:highlight w:val="yellow"/>
        </w:rPr>
        <w:t xml:space="preserve">(3), </w:t>
      </w:r>
      <w:r w:rsidR="00454666">
        <w:rPr>
          <w:color w:val="000000" w:themeColor="text1"/>
          <w:highlight w:val="yellow"/>
        </w:rPr>
        <w:t>pp.</w:t>
      </w:r>
      <w:r w:rsidRPr="00F5660D">
        <w:rPr>
          <w:color w:val="000000" w:themeColor="text1"/>
          <w:highlight w:val="yellow"/>
        </w:rPr>
        <w:t xml:space="preserve">442-452. </w:t>
      </w:r>
      <w:r w:rsidR="00454666">
        <w:rPr>
          <w:color w:val="000000" w:themeColor="text1"/>
          <w:highlight w:val="yellow"/>
        </w:rPr>
        <w:tab/>
      </w:r>
      <w:r w:rsidRPr="00F5660D">
        <w:rPr>
          <w:color w:val="000000" w:themeColor="text1"/>
          <w:highlight w:val="yellow"/>
        </w:rPr>
        <w:t>doi:</w:t>
      </w:r>
      <w:hyperlink r:id="rId47" w:history="1">
        <w:r w:rsidRPr="00454666">
          <w:rPr>
            <w:rStyle w:val="Hyperlink"/>
            <w:color w:val="000000" w:themeColor="text1"/>
            <w:highlight w:val="yellow"/>
            <w:u w:val="none"/>
            <w:shd w:val="clear" w:color="auto" w:fill="FFFFFF"/>
          </w:rPr>
          <w:t>10.1037/cdp0000189</w:t>
        </w:r>
      </w:hyperlink>
    </w:p>
    <w:p w14:paraId="1E01EACA" w14:textId="18CCD434" w:rsidR="00366418" w:rsidRPr="0018400B" w:rsidRDefault="00366418" w:rsidP="00366418">
      <w:r w:rsidRPr="002C4CA0">
        <w:t xml:space="preserve">Soglin, L. F., </w:t>
      </w:r>
      <w:proofErr w:type="spellStart"/>
      <w:r w:rsidRPr="002C4CA0">
        <w:t>Ragavan</w:t>
      </w:r>
      <w:proofErr w:type="spellEnd"/>
      <w:r w:rsidRPr="002C4CA0">
        <w:t xml:space="preserve">, M., </w:t>
      </w:r>
      <w:proofErr w:type="spellStart"/>
      <w:r w:rsidRPr="002C4CA0">
        <w:t>Immaneni</w:t>
      </w:r>
      <w:proofErr w:type="spellEnd"/>
      <w:r w:rsidRPr="002C4CA0">
        <w:t>, S.</w:t>
      </w:r>
      <w:r w:rsidR="00454666">
        <w:t xml:space="preserve"> and</w:t>
      </w:r>
      <w:r w:rsidRPr="002C4CA0">
        <w:t xml:space="preserve"> Soglin, D. F. (2020)</w:t>
      </w:r>
      <w:r w:rsidR="00454666">
        <w:t xml:space="preserve"> ‘</w:t>
      </w:r>
      <w:r w:rsidRPr="002C4CA0">
        <w:t>Assessing intimate partner</w:t>
      </w:r>
      <w:r w:rsidRPr="0018400B">
        <w:tab/>
      </w:r>
      <w:r w:rsidRPr="002C4CA0">
        <w:t xml:space="preserve">violence in </w:t>
      </w:r>
      <w:r w:rsidR="005E7B94">
        <w:t>S</w:t>
      </w:r>
      <w:r w:rsidRPr="002C4CA0">
        <w:t xml:space="preserve">outh Asian women using the </w:t>
      </w:r>
      <w:r w:rsidR="00454666">
        <w:t>i</w:t>
      </w:r>
      <w:r w:rsidRPr="002C4CA0">
        <w:t xml:space="preserve">ndex of </w:t>
      </w:r>
      <w:r w:rsidR="00454666">
        <w:t>s</w:t>
      </w:r>
      <w:r w:rsidRPr="002C4CA0">
        <w:t xml:space="preserve">pousal </w:t>
      </w:r>
      <w:r w:rsidR="00454666">
        <w:t>a</w:t>
      </w:r>
      <w:r w:rsidRPr="002C4CA0">
        <w:t>buse.</w:t>
      </w:r>
      <w:r w:rsidR="00454666">
        <w:t xml:space="preserve">’, </w:t>
      </w:r>
      <w:r w:rsidRPr="002C4CA0">
        <w:rPr>
          <w:i/>
          <w:iCs/>
        </w:rPr>
        <w:t>Violence Against</w:t>
      </w:r>
      <w:r w:rsidRPr="0018400B">
        <w:rPr>
          <w:i/>
          <w:iCs/>
        </w:rPr>
        <w:tab/>
      </w:r>
      <w:r w:rsidRPr="002C4CA0">
        <w:rPr>
          <w:i/>
          <w:iCs/>
        </w:rPr>
        <w:t>Women</w:t>
      </w:r>
      <w:r w:rsidRPr="002C4CA0">
        <w:t xml:space="preserve">, 26(6-7), </w:t>
      </w:r>
      <w:r w:rsidR="00454666">
        <w:t>pp.</w:t>
      </w:r>
      <w:r w:rsidRPr="002C4CA0">
        <w:t xml:space="preserve">697-711. </w:t>
      </w:r>
      <w:proofErr w:type="spellStart"/>
      <w:r>
        <w:t>doi</w:t>
      </w:r>
      <w:proofErr w:type="spellEnd"/>
      <w:r w:rsidRPr="006F5761">
        <w:t xml:space="preserve">: </w:t>
      </w:r>
      <w:hyperlink r:id="rId48" w:history="1">
        <w:r w:rsidRPr="006F5761">
          <w:rPr>
            <w:rStyle w:val="Hyperlink"/>
            <w:color w:val="000000" w:themeColor="text1"/>
            <w:u w:val="none"/>
          </w:rPr>
          <w:t>10.1177/1077801219842945</w:t>
        </w:r>
      </w:hyperlink>
    </w:p>
    <w:p w14:paraId="4A99025A" w14:textId="221216A3" w:rsidR="00366418" w:rsidRDefault="00366418" w:rsidP="00366418">
      <w:pPr>
        <w:rPr>
          <w:rStyle w:val="Hyperlink"/>
          <w:color w:val="000000" w:themeColor="text1"/>
          <w:u w:val="none"/>
        </w:rPr>
      </w:pPr>
      <w:r w:rsidRPr="00F33138">
        <w:t>South Asian Americans Leading Together. (2019)</w:t>
      </w:r>
      <w:r w:rsidR="00454666">
        <w:t xml:space="preserve"> </w:t>
      </w:r>
      <w:r w:rsidRPr="00F33138">
        <w:rPr>
          <w:i/>
          <w:iCs/>
        </w:rPr>
        <w:t xml:space="preserve">Demographic snapshot of </w:t>
      </w:r>
      <w:r w:rsidR="00454666">
        <w:rPr>
          <w:i/>
          <w:iCs/>
        </w:rPr>
        <w:t>s</w:t>
      </w:r>
      <w:r w:rsidRPr="00F33138">
        <w:rPr>
          <w:i/>
          <w:iCs/>
        </w:rPr>
        <w:t>outh Asians in the</w:t>
      </w:r>
      <w:r w:rsidRPr="00F33138">
        <w:rPr>
          <w:i/>
          <w:iCs/>
        </w:rPr>
        <w:tab/>
        <w:t>United States</w:t>
      </w:r>
      <w:r w:rsidRPr="00F33138">
        <w:t xml:space="preserve">. </w:t>
      </w:r>
      <w:r w:rsidRPr="00454666">
        <w:rPr>
          <w:i/>
          <w:iCs/>
        </w:rPr>
        <w:t>Strengthening South Asian Communities in America.</w:t>
      </w:r>
      <w:r w:rsidRPr="00F33138">
        <w:t xml:space="preserve"> </w:t>
      </w:r>
      <w:r w:rsidR="00454666">
        <w:t>Available at:</w:t>
      </w:r>
      <w:r w:rsidRPr="00F33138">
        <w:tab/>
      </w:r>
      <w:hyperlink r:id="rId49" w:history="1">
        <w:r w:rsidRPr="006F5761">
          <w:rPr>
            <w:rStyle w:val="Hyperlink"/>
            <w:color w:val="000000" w:themeColor="text1"/>
            <w:u w:val="none"/>
          </w:rPr>
          <w:t>https://saalt.org/wp-content/uploads/2019/04/SAALT-Demographic-Snapshot-</w:t>
        </w:r>
        <w:r w:rsidRPr="006F5761">
          <w:rPr>
            <w:rStyle w:val="Hyperlink"/>
            <w:color w:val="000000" w:themeColor="text1"/>
            <w:u w:val="none"/>
          </w:rPr>
          <w:tab/>
          <w:t>2019.pdf</w:t>
        </w:r>
      </w:hyperlink>
      <w:r w:rsidR="00454666">
        <w:rPr>
          <w:rStyle w:val="Hyperlink"/>
          <w:color w:val="000000" w:themeColor="text1"/>
          <w:u w:val="none"/>
        </w:rPr>
        <w:t xml:space="preserve"> </w:t>
      </w:r>
      <w:r w:rsidR="009B1D61" w:rsidRPr="009B1D61">
        <w:t>(Accessed: 7 March 2021)</w:t>
      </w:r>
    </w:p>
    <w:p w14:paraId="146C0893" w14:textId="4EB58887" w:rsidR="00D535BC" w:rsidRDefault="00D535BC" w:rsidP="00454666">
      <w:pPr>
        <w:rPr>
          <w:rStyle w:val="Hyperlink"/>
          <w:color w:val="000000" w:themeColor="text1"/>
          <w:u w:val="none"/>
        </w:rPr>
      </w:pPr>
      <w:r w:rsidRPr="00D535BC">
        <w:rPr>
          <w:color w:val="000000" w:themeColor="text1"/>
        </w:rPr>
        <w:t>Spence, J. T.</w:t>
      </w:r>
      <w:r>
        <w:rPr>
          <w:color w:val="000000" w:themeColor="text1"/>
        </w:rPr>
        <w:t xml:space="preserve"> and</w:t>
      </w:r>
      <w:r w:rsidRPr="00D535BC">
        <w:rPr>
          <w:color w:val="000000" w:themeColor="text1"/>
        </w:rPr>
        <w:t xml:space="preserve"> </w:t>
      </w:r>
      <w:proofErr w:type="spellStart"/>
      <w:r w:rsidRPr="00D535BC">
        <w:rPr>
          <w:color w:val="000000" w:themeColor="text1"/>
        </w:rPr>
        <w:t>Helmreich</w:t>
      </w:r>
      <w:proofErr w:type="spellEnd"/>
      <w:r w:rsidRPr="00D535BC">
        <w:rPr>
          <w:color w:val="000000" w:themeColor="text1"/>
        </w:rPr>
        <w:t>, R. L. (1978)</w:t>
      </w:r>
      <w:r>
        <w:rPr>
          <w:color w:val="000000" w:themeColor="text1"/>
        </w:rPr>
        <w:t xml:space="preserve"> </w:t>
      </w:r>
      <w:r w:rsidRPr="00D535BC">
        <w:rPr>
          <w:i/>
          <w:iCs/>
          <w:color w:val="000000" w:themeColor="text1"/>
        </w:rPr>
        <w:t xml:space="preserve">Masculinity and femininity: Their psycho- logical </w:t>
      </w:r>
      <w:r w:rsidRPr="00D535BC">
        <w:rPr>
          <w:i/>
          <w:iCs/>
          <w:color w:val="000000" w:themeColor="text1"/>
        </w:rPr>
        <w:tab/>
        <w:t>dimensions, correlates and antecedents</w:t>
      </w:r>
      <w:r w:rsidRPr="00D535BC">
        <w:rPr>
          <w:color w:val="000000" w:themeColor="text1"/>
        </w:rPr>
        <w:t>. University of Texas Press.</w:t>
      </w:r>
    </w:p>
    <w:p w14:paraId="4EC76130" w14:textId="0355D25B" w:rsidR="00EF6624" w:rsidRDefault="00EF6624" w:rsidP="00EF6624">
      <w:pPr>
        <w:ind w:left="720" w:hanging="720"/>
      </w:pPr>
      <w:r w:rsidRPr="00412F7F">
        <w:t>Stark, E. (2007)</w:t>
      </w:r>
      <w:r>
        <w:t xml:space="preserve"> </w:t>
      </w:r>
      <w:r w:rsidRPr="00412F7F">
        <w:rPr>
          <w:i/>
        </w:rPr>
        <w:t>Coercive control: The entrapment of women in personal life</w:t>
      </w:r>
      <w:r w:rsidRPr="00412F7F">
        <w:t>. New York: Oxford University Press.</w:t>
      </w:r>
    </w:p>
    <w:p w14:paraId="51BFEB8B" w14:textId="77777777" w:rsidR="00C257EF" w:rsidRDefault="00D535BC" w:rsidP="00CF2989">
      <w:pPr>
        <w:rPr>
          <w:i/>
          <w:iCs/>
          <w:color w:val="000000" w:themeColor="text1"/>
        </w:rPr>
      </w:pPr>
      <w:r w:rsidRPr="00D535BC">
        <w:rPr>
          <w:color w:val="000000" w:themeColor="text1"/>
        </w:rPr>
        <w:t xml:space="preserve">Statistics Canada. </w:t>
      </w:r>
      <w:r>
        <w:rPr>
          <w:color w:val="000000" w:themeColor="text1"/>
        </w:rPr>
        <w:t>(</w:t>
      </w:r>
      <w:r w:rsidRPr="00D535BC">
        <w:rPr>
          <w:color w:val="000000" w:themeColor="text1"/>
        </w:rPr>
        <w:t>2017</w:t>
      </w:r>
      <w:r>
        <w:rPr>
          <w:color w:val="000000" w:themeColor="text1"/>
        </w:rPr>
        <w:t xml:space="preserve">) </w:t>
      </w:r>
      <w:r w:rsidRPr="00D535BC">
        <w:rPr>
          <w:i/>
          <w:iCs/>
          <w:color w:val="000000" w:themeColor="text1"/>
        </w:rPr>
        <w:t xml:space="preserve">Statistics Canada, 2016 </w:t>
      </w:r>
      <w:r>
        <w:rPr>
          <w:i/>
          <w:iCs/>
          <w:color w:val="000000" w:themeColor="text1"/>
        </w:rPr>
        <w:t>c</w:t>
      </w:r>
      <w:r w:rsidRPr="00D535BC">
        <w:rPr>
          <w:i/>
          <w:iCs/>
          <w:color w:val="000000" w:themeColor="text1"/>
        </w:rPr>
        <w:t xml:space="preserve">ensus of </w:t>
      </w:r>
      <w:r>
        <w:rPr>
          <w:i/>
          <w:iCs/>
          <w:color w:val="000000" w:themeColor="text1"/>
        </w:rPr>
        <w:t>p</w:t>
      </w:r>
      <w:r w:rsidRPr="00D535BC">
        <w:rPr>
          <w:i/>
          <w:iCs/>
          <w:color w:val="000000" w:themeColor="text1"/>
        </w:rPr>
        <w:t xml:space="preserve">opulation, </w:t>
      </w:r>
      <w:r>
        <w:rPr>
          <w:i/>
          <w:iCs/>
          <w:color w:val="000000" w:themeColor="text1"/>
        </w:rPr>
        <w:t>s</w:t>
      </w:r>
      <w:r w:rsidRPr="00D535BC">
        <w:rPr>
          <w:i/>
          <w:iCs/>
          <w:color w:val="000000" w:themeColor="text1"/>
        </w:rPr>
        <w:t xml:space="preserve">tatistics Canada </w:t>
      </w:r>
    </w:p>
    <w:p w14:paraId="14E5972D" w14:textId="224AFA5B" w:rsidR="00D535BC" w:rsidRPr="009527BA" w:rsidRDefault="00D535BC" w:rsidP="009816A8">
      <w:pPr>
        <w:ind w:left="720"/>
        <w:rPr>
          <w:rStyle w:val="Hyperlink"/>
          <w:color w:val="000000" w:themeColor="text1"/>
          <w:u w:val="none"/>
        </w:rPr>
      </w:pPr>
      <w:r>
        <w:rPr>
          <w:i/>
          <w:iCs/>
          <w:color w:val="000000" w:themeColor="text1"/>
        </w:rPr>
        <w:t>c</w:t>
      </w:r>
      <w:r w:rsidRPr="00D535BC">
        <w:rPr>
          <w:i/>
          <w:iCs/>
          <w:color w:val="000000" w:themeColor="text1"/>
        </w:rPr>
        <w:t>atalogue no. 98-400-X2016187.</w:t>
      </w:r>
      <w:r>
        <w:rPr>
          <w:color w:val="000000" w:themeColor="text1"/>
        </w:rPr>
        <w:t xml:space="preserve"> Available at</w:t>
      </w:r>
      <w:r w:rsidRPr="008C414C">
        <w:t xml:space="preserve">: </w:t>
      </w:r>
      <w:hyperlink r:id="rId50" w:history="1">
        <w:r w:rsidR="007E1F6B" w:rsidRPr="008C414C">
          <w:rPr>
            <w:rStyle w:val="Hyperlink"/>
            <w:color w:val="auto"/>
            <w:u w:val="none"/>
          </w:rPr>
          <w:t>https://www12.statcan.gc.ca/census-recensement/2016/dp-pd/dt-td/Rp-eng.cfm?TABID=2&amp;Lang=E&amp;APATH=3&amp;DETAIL=0&amp;DIM=0&amp;FL=A&amp;FREE=0&amp;GC=0&amp;GID=1341679&amp;GK=0&amp;GRP=1&amp;PID=110528&amp;PRID=10&amp;PTYPE=109445&amp;S=0&amp;SHOWALL=0&amp;SUB=0&amp;Temporal=2017&amp;THEME=120&amp;VID=0&amp;VNAMEE=&amp;VNAMEF=&amp;D1=0</w:t>
        </w:r>
      </w:hyperlink>
      <w:r>
        <w:rPr>
          <w:color w:val="000000" w:themeColor="text1"/>
        </w:rPr>
        <w:t>(Access</w:t>
      </w:r>
      <w:r w:rsidR="00E504A0">
        <w:rPr>
          <w:color w:val="000000" w:themeColor="text1"/>
        </w:rPr>
        <w:t>ed: 2 November 2021</w:t>
      </w:r>
      <w:r>
        <w:rPr>
          <w:color w:val="000000" w:themeColor="text1"/>
        </w:rPr>
        <w:t>)</w:t>
      </w:r>
    </w:p>
    <w:p w14:paraId="6AFC0EA9" w14:textId="5AAF9C38" w:rsidR="00366418" w:rsidRPr="00827E67" w:rsidRDefault="00366418" w:rsidP="00366418">
      <w:pPr>
        <w:rPr>
          <w:color w:val="FF0000"/>
        </w:rPr>
      </w:pPr>
      <w:r w:rsidRPr="0075494E">
        <w:t>Trochim, W. M. K.</w:t>
      </w:r>
      <w:r w:rsidR="00454666">
        <w:t xml:space="preserve"> and</w:t>
      </w:r>
      <w:r w:rsidRPr="0075494E">
        <w:t xml:space="preserve"> Donnelly, J. P (200</w:t>
      </w:r>
      <w:r w:rsidRPr="0018400B">
        <w:t>7</w:t>
      </w:r>
      <w:r w:rsidRPr="0075494E">
        <w:t xml:space="preserve">) </w:t>
      </w:r>
      <w:r w:rsidRPr="0075494E">
        <w:rPr>
          <w:i/>
          <w:iCs/>
        </w:rPr>
        <w:t>Research methods knowledge base</w:t>
      </w:r>
      <w:r w:rsidR="00454666">
        <w:t xml:space="preserve">. </w:t>
      </w:r>
      <w:r w:rsidRPr="0075494E">
        <w:t>3</w:t>
      </w:r>
      <w:r w:rsidR="00454666">
        <w:rPr>
          <w:vertAlign w:val="superscript"/>
        </w:rPr>
        <w:t>rd</w:t>
      </w:r>
      <w:r w:rsidR="00D64D65">
        <w:rPr>
          <w:vertAlign w:val="superscript"/>
        </w:rPr>
        <w:t xml:space="preserve"> </w:t>
      </w:r>
      <w:proofErr w:type="spellStart"/>
      <w:r w:rsidRPr="0075494E">
        <w:t>ed</w:t>
      </w:r>
      <w:r w:rsidR="00454666">
        <w:t>n</w:t>
      </w:r>
      <w:proofErr w:type="spellEnd"/>
      <w:r w:rsidRPr="0075494E">
        <w:t>.</w:t>
      </w:r>
      <w:r w:rsidRPr="0018400B">
        <w:tab/>
      </w:r>
      <w:r w:rsidRPr="0075494E">
        <w:t>Thomson Custom Pub</w:t>
      </w:r>
      <w:r w:rsidRPr="0018400B">
        <w:t>.</w:t>
      </w:r>
    </w:p>
    <w:p w14:paraId="62CB4CAC" w14:textId="41DC3B6A" w:rsidR="00366418" w:rsidRPr="00827E67" w:rsidRDefault="00366418" w:rsidP="00366418">
      <w:pPr>
        <w:rPr>
          <w:color w:val="FF0000"/>
        </w:rPr>
      </w:pPr>
      <w:bookmarkStart w:id="1" w:name="_Hlk87343028"/>
      <w:r w:rsidRPr="00F33138">
        <w:t xml:space="preserve">Violence Against Women Reauthorization </w:t>
      </w:r>
      <w:bookmarkEnd w:id="1"/>
      <w:r w:rsidR="00454666">
        <w:t>Act (2005)</w:t>
      </w:r>
      <w:r w:rsidRPr="00F33138">
        <w:t xml:space="preserve"> </w:t>
      </w:r>
      <w:r w:rsidR="00454666" w:rsidRPr="00454666">
        <w:rPr>
          <w:i/>
          <w:iCs/>
        </w:rPr>
        <w:t xml:space="preserve">Violence Against Women Reauthorization </w:t>
      </w:r>
      <w:r w:rsidR="00454666">
        <w:rPr>
          <w:i/>
          <w:iCs/>
        </w:rPr>
        <w:tab/>
      </w:r>
      <w:r w:rsidR="00454666" w:rsidRPr="00454666">
        <w:rPr>
          <w:i/>
          <w:iCs/>
        </w:rPr>
        <w:t>Act of 2005</w:t>
      </w:r>
      <w:r w:rsidR="00D535BC">
        <w:rPr>
          <w:i/>
          <w:iCs/>
        </w:rPr>
        <w:t>,</w:t>
      </w:r>
      <w:r w:rsidR="00454666">
        <w:t xml:space="preserve"> </w:t>
      </w:r>
      <w:r w:rsidRPr="00454666">
        <w:rPr>
          <w:i/>
          <w:iCs/>
        </w:rPr>
        <w:t>Pub L. No. 109-162.</w:t>
      </w:r>
      <w:r w:rsidRPr="00F33138">
        <w:t xml:space="preserve"> </w:t>
      </w:r>
      <w:r w:rsidR="00454666">
        <w:t>Available at:</w:t>
      </w:r>
      <w:r w:rsidRPr="00F33138">
        <w:tab/>
      </w:r>
      <w:hyperlink r:id="rId51" w:history="1">
        <w:r w:rsidRPr="00F33138">
          <w:rPr>
            <w:rStyle w:val="Hyperlink"/>
            <w:color w:val="auto"/>
            <w:u w:val="none"/>
          </w:rPr>
          <w:t>https://www.govinfo.gov/content/pkg/PLAW-109publ162/html/PLAW-109publ162.htm</w:t>
        </w:r>
      </w:hyperlink>
      <w:r w:rsidR="00454666">
        <w:rPr>
          <w:rStyle w:val="Hyperlink"/>
          <w:color w:val="auto"/>
          <w:u w:val="none"/>
        </w:rPr>
        <w:t xml:space="preserve"> </w:t>
      </w:r>
      <w:r w:rsidR="00D535BC" w:rsidRPr="00A33446">
        <w:rPr>
          <w:rStyle w:val="Hyperlink"/>
          <w:color w:val="auto"/>
          <w:u w:val="none"/>
        </w:rPr>
        <w:tab/>
      </w:r>
      <w:r w:rsidR="00133278" w:rsidRPr="00A33446">
        <w:rPr>
          <w:rStyle w:val="Hyperlink"/>
          <w:color w:val="auto"/>
          <w:u w:val="none"/>
        </w:rPr>
        <w:t>(Accessed</w:t>
      </w:r>
      <w:r w:rsidR="000C7261">
        <w:rPr>
          <w:rStyle w:val="Hyperlink"/>
          <w:color w:val="auto"/>
          <w:u w:val="none"/>
        </w:rPr>
        <w:t>:</w:t>
      </w:r>
      <w:r w:rsidR="00133278" w:rsidRPr="00A33446">
        <w:rPr>
          <w:rStyle w:val="Hyperlink"/>
          <w:color w:val="auto"/>
          <w:u w:val="none"/>
        </w:rPr>
        <w:t xml:space="preserve"> </w:t>
      </w:r>
      <w:r w:rsidR="00A33446" w:rsidRPr="00A33446">
        <w:rPr>
          <w:rStyle w:val="Hyperlink"/>
          <w:color w:val="auto"/>
          <w:u w:val="none"/>
        </w:rPr>
        <w:t>28 February 2021)</w:t>
      </w:r>
    </w:p>
    <w:p w14:paraId="6066F51D" w14:textId="4D11144B" w:rsidR="00CC2D59" w:rsidRDefault="00CC2D59" w:rsidP="00366418">
      <w:r w:rsidRPr="00CC2D59">
        <w:t>Voth Schrag, R.</w:t>
      </w:r>
      <w:r w:rsidR="00D64D65">
        <w:t>J.</w:t>
      </w:r>
      <w:r>
        <w:t xml:space="preserve"> and</w:t>
      </w:r>
      <w:r w:rsidRPr="00CC2D59">
        <w:t> Ravi, K.E. (2020)</w:t>
      </w:r>
      <w:r>
        <w:t xml:space="preserve"> ‘</w:t>
      </w:r>
      <w:r w:rsidRPr="00CC2D59">
        <w:t xml:space="preserve">Measurement of </w:t>
      </w:r>
      <w:r>
        <w:t>e</w:t>
      </w:r>
      <w:r w:rsidRPr="00CC2D59">
        <w:t xml:space="preserve">conomic </w:t>
      </w:r>
      <w:r>
        <w:t>a</w:t>
      </w:r>
      <w:r w:rsidRPr="00CC2D59">
        <w:t xml:space="preserve">buse </w:t>
      </w:r>
      <w:r>
        <w:t>a</w:t>
      </w:r>
      <w:r w:rsidRPr="00CC2D59">
        <w:t xml:space="preserve">mong </w:t>
      </w:r>
      <w:r>
        <w:t>w</w:t>
      </w:r>
      <w:r w:rsidRPr="00CC2D59">
        <w:t xml:space="preserve">omen </w:t>
      </w:r>
      <w:r>
        <w:t>n</w:t>
      </w:r>
      <w:r w:rsidRPr="00CC2D59">
        <w:t xml:space="preserve">ot </w:t>
      </w:r>
      <w:r w:rsidRPr="00CC2D59">
        <w:tab/>
      </w:r>
      <w:r>
        <w:t>s</w:t>
      </w:r>
      <w:r w:rsidRPr="00CC2D59">
        <w:t xml:space="preserve">eeking </w:t>
      </w:r>
      <w:r>
        <w:t>s</w:t>
      </w:r>
      <w:r w:rsidRPr="00CC2D59">
        <w:t xml:space="preserve">ocial or </w:t>
      </w:r>
      <w:r>
        <w:t>s</w:t>
      </w:r>
      <w:r w:rsidRPr="00CC2D59">
        <w:t xml:space="preserve">upport </w:t>
      </w:r>
      <w:r>
        <w:t>s</w:t>
      </w:r>
      <w:r w:rsidRPr="00CC2D59">
        <w:t xml:space="preserve">ervices and </w:t>
      </w:r>
      <w:r>
        <w:t>d</w:t>
      </w:r>
      <w:r w:rsidRPr="00CC2D59">
        <w:t xml:space="preserve">welling in the </w:t>
      </w:r>
      <w:r>
        <w:t>c</w:t>
      </w:r>
      <w:r w:rsidRPr="00CC2D59">
        <w:t>ommunity</w:t>
      </w:r>
      <w:r>
        <w:t>.’,</w:t>
      </w:r>
      <w:r w:rsidRPr="00CC2D59">
        <w:t> </w:t>
      </w:r>
      <w:r w:rsidRPr="00CC2D59">
        <w:rPr>
          <w:i/>
          <w:iCs/>
        </w:rPr>
        <w:t xml:space="preserve">Violence and </w:t>
      </w:r>
      <w:r w:rsidRPr="00CC2D59">
        <w:rPr>
          <w:i/>
          <w:iCs/>
        </w:rPr>
        <w:tab/>
        <w:t>Victims</w:t>
      </w:r>
      <w:r w:rsidRPr="00CC2D59">
        <w:t xml:space="preserve">, 35(1), </w:t>
      </w:r>
      <w:r>
        <w:t>pp.</w:t>
      </w:r>
      <w:r w:rsidRPr="00CC2D59">
        <w:t>3–19. </w:t>
      </w:r>
      <w:hyperlink r:id="rId52" w:tgtFrame="_blank" w:history="1">
        <w:r w:rsidRPr="00CC2D59">
          <w:rPr>
            <w:rStyle w:val="Hyperlink"/>
            <w:color w:val="auto"/>
            <w:u w:val="none"/>
          </w:rPr>
          <w:t>https://doi.org/10.1891/0886-6708.vv-d-18-00154</w:t>
        </w:r>
      </w:hyperlink>
    </w:p>
    <w:p w14:paraId="147EA115" w14:textId="2BCC8715" w:rsidR="00366418" w:rsidRPr="006F5761" w:rsidRDefault="00366418" w:rsidP="00366418">
      <w:pPr>
        <w:rPr>
          <w:color w:val="000000" w:themeColor="text1"/>
        </w:rPr>
      </w:pPr>
      <w:r w:rsidRPr="00E45D78">
        <w:t>White, J. W., Yuan, N. P., Cook, S. L.</w:t>
      </w:r>
      <w:r w:rsidR="00D535BC">
        <w:t xml:space="preserve"> and</w:t>
      </w:r>
      <w:r w:rsidRPr="00E45D78">
        <w:t xml:space="preserve"> Abbey, A. (2013)</w:t>
      </w:r>
      <w:r w:rsidR="00D535BC">
        <w:t xml:space="preserve"> ‘</w:t>
      </w:r>
      <w:r w:rsidRPr="00E45D78">
        <w:t>Ethnic minority women’s</w:t>
      </w:r>
      <w:r w:rsidRPr="0018400B">
        <w:tab/>
      </w:r>
      <w:r w:rsidRPr="00E45D78">
        <w:t>experiences with intimate partner violence: Using community-based participatory</w:t>
      </w:r>
      <w:r w:rsidRPr="0018400B">
        <w:lastRenderedPageBreak/>
        <w:tab/>
      </w:r>
      <w:r w:rsidRPr="00E45D78">
        <w:t>research to ask the right questions.</w:t>
      </w:r>
      <w:r w:rsidR="00D535BC">
        <w:t>’,</w:t>
      </w:r>
      <w:r w:rsidRPr="00E45D78">
        <w:t xml:space="preserve"> </w:t>
      </w:r>
      <w:r w:rsidRPr="00E45D78">
        <w:rPr>
          <w:i/>
          <w:iCs/>
        </w:rPr>
        <w:t xml:space="preserve">Sex </w:t>
      </w:r>
      <w:r w:rsidRPr="0018400B">
        <w:rPr>
          <w:i/>
          <w:iCs/>
        </w:rPr>
        <w:t>R</w:t>
      </w:r>
      <w:r w:rsidRPr="00E45D78">
        <w:rPr>
          <w:i/>
          <w:iCs/>
        </w:rPr>
        <w:t>oles</w:t>
      </w:r>
      <w:r w:rsidRPr="00E45D78">
        <w:t xml:space="preserve">, 69(3), </w:t>
      </w:r>
      <w:r w:rsidR="00D535BC">
        <w:t>pp.</w:t>
      </w:r>
      <w:r w:rsidRPr="00E45D78">
        <w:t xml:space="preserve">226-236. </w:t>
      </w:r>
      <w:proofErr w:type="spellStart"/>
      <w:r w:rsidRPr="00E45D78">
        <w:t>doi</w:t>
      </w:r>
      <w:proofErr w:type="spellEnd"/>
      <w:r w:rsidRPr="00E45D78">
        <w:t xml:space="preserve">: </w:t>
      </w:r>
      <w:hyperlink r:id="rId53" w:history="1">
        <w:r w:rsidRPr="006F5761">
          <w:rPr>
            <w:rStyle w:val="Hyperlink"/>
            <w:color w:val="000000" w:themeColor="text1"/>
            <w:u w:val="none"/>
          </w:rPr>
          <w:t>10.1007/s11199-</w:t>
        </w:r>
        <w:r w:rsidR="00D535BC">
          <w:rPr>
            <w:rStyle w:val="Hyperlink"/>
            <w:color w:val="000000" w:themeColor="text1"/>
            <w:u w:val="none"/>
          </w:rPr>
          <w:tab/>
        </w:r>
        <w:r w:rsidRPr="006F5761">
          <w:rPr>
            <w:rStyle w:val="Hyperlink"/>
            <w:color w:val="000000" w:themeColor="text1"/>
            <w:u w:val="none"/>
          </w:rPr>
          <w:t>012-0237-0</w:t>
        </w:r>
      </w:hyperlink>
    </w:p>
    <w:p w14:paraId="58F64F36" w14:textId="74F6FE06" w:rsidR="00366418" w:rsidRPr="0018400B" w:rsidRDefault="00366418" w:rsidP="00366418">
      <w:proofErr w:type="spellStart"/>
      <w:r w:rsidRPr="002D58D4">
        <w:t>Yick</w:t>
      </w:r>
      <w:proofErr w:type="spellEnd"/>
      <w:r w:rsidRPr="002D58D4">
        <w:t xml:space="preserve">, A. G. 1997. </w:t>
      </w:r>
      <w:r w:rsidR="007B1130">
        <w:t>‘</w:t>
      </w:r>
      <w:r w:rsidRPr="007B1130">
        <w:t>Chinese-Americans’ perceptions of and experiences with domestic violence</w:t>
      </w:r>
      <w:r w:rsidRPr="007B1130">
        <w:tab/>
        <w:t>and factors related to their psychological well-being</w:t>
      </w:r>
      <w:r w:rsidR="007B1130">
        <w:t>’</w:t>
      </w:r>
      <w:r w:rsidRPr="007B1130">
        <w:t>.</w:t>
      </w:r>
      <w:r w:rsidRPr="00D535BC">
        <w:rPr>
          <w:i/>
          <w:iCs/>
        </w:rPr>
        <w:t xml:space="preserve"> </w:t>
      </w:r>
      <w:r w:rsidR="00D535BC">
        <w:t xml:space="preserve">Ph.D. </w:t>
      </w:r>
      <w:r w:rsidRPr="0018400B">
        <w:t xml:space="preserve">dissertation, University of </w:t>
      </w:r>
      <w:r w:rsidR="00D535BC">
        <w:tab/>
      </w:r>
      <w:r w:rsidRPr="0018400B">
        <w:t>California</w:t>
      </w:r>
      <w:r w:rsidR="00D65EBE">
        <w:t>, Los Angeles</w:t>
      </w:r>
    </w:p>
    <w:p w14:paraId="7C49A760" w14:textId="01AB071A" w:rsidR="00366418" w:rsidRPr="00827E67" w:rsidRDefault="00366418" w:rsidP="00366418">
      <w:pPr>
        <w:rPr>
          <w:color w:val="FF0000"/>
        </w:rPr>
      </w:pPr>
      <w:r w:rsidRPr="00100FB4">
        <w:t xml:space="preserve">Yoshihama, M., </w:t>
      </w:r>
      <w:proofErr w:type="spellStart"/>
      <w:r w:rsidRPr="00100FB4">
        <w:t>Dabby</w:t>
      </w:r>
      <w:proofErr w:type="spellEnd"/>
      <w:r w:rsidRPr="00100FB4">
        <w:t>, C.</w:t>
      </w:r>
      <w:r w:rsidR="00D535BC">
        <w:t xml:space="preserve"> and</w:t>
      </w:r>
      <w:r w:rsidRPr="00100FB4">
        <w:t xml:space="preserve"> Luo, S. (2020)</w:t>
      </w:r>
      <w:r w:rsidR="00CC2D59">
        <w:t xml:space="preserve"> </w:t>
      </w:r>
      <w:r w:rsidRPr="00CC2D59">
        <w:rPr>
          <w:i/>
          <w:iCs/>
        </w:rPr>
        <w:t>Facts and stats report, updated and</w:t>
      </w:r>
      <w:r w:rsidRPr="00CC2D59">
        <w:rPr>
          <w:i/>
          <w:iCs/>
        </w:rPr>
        <w:tab/>
        <w:t>expanded 2020.</w:t>
      </w:r>
      <w:r w:rsidRPr="00F33138">
        <w:t xml:space="preserve"> </w:t>
      </w:r>
      <w:r w:rsidRPr="00F33138">
        <w:rPr>
          <w:i/>
          <w:iCs/>
        </w:rPr>
        <w:t xml:space="preserve">Domestic </w:t>
      </w:r>
      <w:r w:rsidR="00CC2D59">
        <w:rPr>
          <w:i/>
          <w:iCs/>
        </w:rPr>
        <w:t>v</w:t>
      </w:r>
      <w:r w:rsidRPr="00F33138">
        <w:rPr>
          <w:i/>
          <w:iCs/>
        </w:rPr>
        <w:t xml:space="preserve">iolence in Asian and Pacific Islander </w:t>
      </w:r>
      <w:r w:rsidR="00CC2D59">
        <w:rPr>
          <w:i/>
          <w:iCs/>
        </w:rPr>
        <w:t>h</w:t>
      </w:r>
      <w:r w:rsidRPr="00F33138">
        <w:rPr>
          <w:i/>
          <w:iCs/>
        </w:rPr>
        <w:t>omes</w:t>
      </w:r>
      <w:r w:rsidRPr="00F33138">
        <w:t>.</w:t>
      </w:r>
      <w:r w:rsidR="00CC2D59">
        <w:t xml:space="preserve"> Available at:</w:t>
      </w:r>
      <w:r w:rsidRPr="00F33138">
        <w:tab/>
      </w:r>
      <w:hyperlink r:id="rId54" w:history="1">
        <w:r w:rsidRPr="006F5761">
          <w:rPr>
            <w:rStyle w:val="Hyperlink"/>
            <w:color w:val="000000" w:themeColor="text1"/>
            <w:u w:val="none"/>
          </w:rPr>
          <w:t>https://www.api-gbv.org/resources/facts-stats-dv-api-homes/</w:t>
        </w:r>
      </w:hyperlink>
      <w:r w:rsidRPr="006F5761">
        <w:rPr>
          <w:color w:val="000000" w:themeColor="text1"/>
        </w:rPr>
        <w:t xml:space="preserve"> </w:t>
      </w:r>
      <w:r w:rsidR="00876F36" w:rsidRPr="00876F36">
        <w:t>(Accessed 7 March 2021)</w:t>
      </w:r>
    </w:p>
    <w:p w14:paraId="60175408" w14:textId="1967B682" w:rsidR="00CB24C3" w:rsidRPr="00491164" w:rsidRDefault="00366418">
      <w:pPr>
        <w:rPr>
          <w:color w:val="000000" w:themeColor="text1"/>
        </w:rPr>
      </w:pPr>
      <w:r w:rsidRPr="005251E6">
        <w:t>Yoshihama, M., Ramakrishnan, A., Hammock, A.</w:t>
      </w:r>
      <w:r w:rsidR="00D535BC">
        <w:t xml:space="preserve"> and</w:t>
      </w:r>
      <w:r w:rsidRPr="005251E6">
        <w:t xml:space="preserve"> Khaliq, M. (2012) </w:t>
      </w:r>
      <w:r w:rsidR="00D535BC">
        <w:t>‘</w:t>
      </w:r>
      <w:r w:rsidRPr="005251E6">
        <w:t>Intimate partner</w:t>
      </w:r>
      <w:r w:rsidRPr="0018400B">
        <w:tab/>
      </w:r>
      <w:r w:rsidRPr="005251E6">
        <w:t>violence prevention program in an Asian immigrant community: Integrating theories,</w:t>
      </w:r>
      <w:r w:rsidRPr="0018400B">
        <w:tab/>
      </w:r>
      <w:r w:rsidRPr="005251E6">
        <w:t>data and community.</w:t>
      </w:r>
      <w:r w:rsidR="00D535BC">
        <w:t>’,</w:t>
      </w:r>
      <w:r w:rsidRPr="005251E6">
        <w:t xml:space="preserve"> </w:t>
      </w:r>
      <w:r w:rsidRPr="005251E6">
        <w:rPr>
          <w:i/>
          <w:iCs/>
        </w:rPr>
        <w:t>Violence Against Women</w:t>
      </w:r>
      <w:r w:rsidRPr="005251E6">
        <w:t xml:space="preserve">, 18(7), </w:t>
      </w:r>
      <w:r w:rsidR="00D535BC">
        <w:t>pp.</w:t>
      </w:r>
      <w:r w:rsidRPr="005251E6">
        <w:t>763-783.</w:t>
      </w:r>
      <w:r w:rsidRPr="0018400B">
        <w:tab/>
      </w:r>
      <w:hyperlink r:id="rId55" w:history="1">
        <w:r w:rsidRPr="00D82108">
          <w:rPr>
            <w:rStyle w:val="Hyperlink"/>
            <w:color w:val="000000" w:themeColor="text1"/>
            <w:u w:val="none"/>
          </w:rPr>
          <w:t>https://doi.org/10.1177/1077801212455163</w:t>
        </w:r>
      </w:hyperlink>
    </w:p>
    <w:p w14:paraId="69F61CA3" w14:textId="77777777" w:rsidR="00744379" w:rsidRPr="00924C91" w:rsidRDefault="00744379">
      <w:pPr>
        <w:rPr>
          <w:rFonts w:eastAsia="TimesNewRomanPSMT"/>
          <w:b/>
          <w:bCs/>
        </w:rPr>
      </w:pPr>
    </w:p>
    <w:p w14:paraId="7AB60A6E" w14:textId="77777777" w:rsidR="00064B67" w:rsidRDefault="00064B67" w:rsidP="009244BA">
      <w:pPr>
        <w:jc w:val="center"/>
        <w:rPr>
          <w:rFonts w:ascii="TimesNewRomanPSMT" w:eastAsia="TimesNewRomanPSMT" w:hAnsi="TimesNewRomanPSMT" w:cs="TimesNewRomanPSMT"/>
          <w:b/>
          <w:bCs/>
        </w:rPr>
      </w:pPr>
    </w:p>
    <w:p w14:paraId="067BC5DF" w14:textId="77777777" w:rsidR="00064B67" w:rsidRDefault="00064B67" w:rsidP="009244BA">
      <w:pPr>
        <w:jc w:val="center"/>
        <w:rPr>
          <w:rFonts w:ascii="TimesNewRomanPSMT" w:eastAsia="TimesNewRomanPSMT" w:hAnsi="TimesNewRomanPSMT" w:cs="TimesNewRomanPSMT"/>
          <w:b/>
          <w:bCs/>
        </w:rPr>
      </w:pPr>
    </w:p>
    <w:p w14:paraId="47602FA8" w14:textId="16E551BE" w:rsidR="00D8606F" w:rsidRDefault="00D8606F">
      <w:pPr>
        <w:rPr>
          <w:rFonts w:ascii="TimesNewRomanPSMT" w:eastAsia="TimesNewRomanPSMT" w:hAnsi="TimesNewRomanPSMT" w:cs="TimesNewRomanPSMT"/>
          <w:b/>
          <w:bCs/>
        </w:rPr>
      </w:pPr>
      <w:r>
        <w:rPr>
          <w:rFonts w:ascii="TimesNewRomanPSMT" w:eastAsia="TimesNewRomanPSMT" w:hAnsi="TimesNewRomanPSMT" w:cs="TimesNewRomanPSMT"/>
          <w:b/>
          <w:bCs/>
        </w:rPr>
        <w:br w:type="page"/>
      </w:r>
    </w:p>
    <w:p w14:paraId="767DB691" w14:textId="77777777" w:rsidR="00064B67" w:rsidRDefault="00064B67" w:rsidP="009244BA">
      <w:pPr>
        <w:jc w:val="center"/>
        <w:rPr>
          <w:rFonts w:ascii="TimesNewRomanPSMT" w:eastAsia="TimesNewRomanPSMT" w:hAnsi="TimesNewRomanPSMT" w:cs="TimesNewRomanPSMT"/>
          <w:b/>
          <w:bCs/>
        </w:rPr>
      </w:pPr>
    </w:p>
    <w:p w14:paraId="0F489DE0" w14:textId="514968D8" w:rsidR="00452F5A" w:rsidRPr="009244BA" w:rsidRDefault="00452F5A" w:rsidP="00064B67">
      <w:pPr>
        <w:jc w:val="center"/>
        <w:rPr>
          <w:rFonts w:ascii="TimesNewRomanPSMT" w:eastAsia="TimesNewRomanPSMT" w:hAnsi="TimesNewRomanPSMT" w:cs="TimesNewRomanPSMT"/>
          <w:b/>
          <w:bCs/>
        </w:rPr>
      </w:pPr>
      <w:r w:rsidRPr="00452F5A">
        <w:rPr>
          <w:rFonts w:ascii="TimesNewRomanPSMT" w:eastAsia="TimesNewRomanPSMT" w:hAnsi="TimesNewRomanPSMT" w:cs="TimesNewRomanPSMT"/>
          <w:b/>
          <w:bCs/>
        </w:rPr>
        <w:t>Tables</w:t>
      </w:r>
    </w:p>
    <w:p w14:paraId="6FDD5D6F" w14:textId="77777777" w:rsidR="00452F5A" w:rsidRPr="002B588D" w:rsidRDefault="00452F5A" w:rsidP="00452F5A">
      <w:pPr>
        <w:rPr>
          <w:sz w:val="22"/>
          <w:szCs w:val="22"/>
        </w:rPr>
      </w:pPr>
      <w:r w:rsidRPr="002B588D">
        <w:rPr>
          <w:sz w:val="22"/>
          <w:szCs w:val="22"/>
        </w:rPr>
        <w:t xml:space="preserve">Table 1. </w:t>
      </w:r>
    </w:p>
    <w:p w14:paraId="1A565AF8" w14:textId="77777777" w:rsidR="00452F5A" w:rsidRPr="002B588D" w:rsidRDefault="00452F5A" w:rsidP="00452F5A">
      <w:pPr>
        <w:rPr>
          <w:sz w:val="22"/>
          <w:szCs w:val="22"/>
        </w:rPr>
      </w:pPr>
      <w:r w:rsidRPr="002B588D">
        <w:rPr>
          <w:sz w:val="22"/>
          <w:szCs w:val="22"/>
        </w:rPr>
        <w:t>Frequencies for In-laws Abuse (N=468)</w:t>
      </w:r>
    </w:p>
    <w:p w14:paraId="7DECA871" w14:textId="77777777" w:rsidR="00452F5A" w:rsidRDefault="00452F5A" w:rsidP="00452F5A"/>
    <w:tbl>
      <w:tblPr>
        <w:tblW w:w="9458" w:type="dxa"/>
        <w:tblInd w:w="-30" w:type="dxa"/>
        <w:tblLayout w:type="fixed"/>
        <w:tblLook w:val="0000" w:firstRow="0" w:lastRow="0" w:firstColumn="0" w:lastColumn="0" w:noHBand="0" w:noVBand="0"/>
      </w:tblPr>
      <w:tblGrid>
        <w:gridCol w:w="3777"/>
        <w:gridCol w:w="2209"/>
        <w:gridCol w:w="1840"/>
        <w:gridCol w:w="1632"/>
      </w:tblGrid>
      <w:tr w:rsidR="00452F5A" w14:paraId="2B85E668" w14:textId="77777777" w:rsidTr="00ED42E0">
        <w:trPr>
          <w:trHeight w:val="705"/>
        </w:trPr>
        <w:tc>
          <w:tcPr>
            <w:tcW w:w="3777" w:type="dxa"/>
            <w:tcBorders>
              <w:top w:val="single" w:sz="6" w:space="0" w:color="auto"/>
              <w:left w:val="nil"/>
              <w:bottom w:val="single" w:sz="6" w:space="0" w:color="auto"/>
              <w:right w:val="nil"/>
            </w:tcBorders>
          </w:tcPr>
          <w:p w14:paraId="7B06FAC5"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Item</w:t>
            </w:r>
          </w:p>
        </w:tc>
        <w:tc>
          <w:tcPr>
            <w:tcW w:w="2209" w:type="dxa"/>
            <w:tcBorders>
              <w:top w:val="single" w:sz="6" w:space="0" w:color="auto"/>
              <w:left w:val="nil"/>
              <w:bottom w:val="single" w:sz="6" w:space="0" w:color="auto"/>
              <w:right w:val="nil"/>
            </w:tcBorders>
          </w:tcPr>
          <w:p w14:paraId="55CF645B"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 xml:space="preserve">Overall Frequency </w:t>
            </w:r>
          </w:p>
        </w:tc>
        <w:tc>
          <w:tcPr>
            <w:tcW w:w="1840" w:type="dxa"/>
            <w:tcBorders>
              <w:top w:val="single" w:sz="6" w:space="0" w:color="auto"/>
              <w:left w:val="nil"/>
              <w:bottom w:val="single" w:sz="6" w:space="0" w:color="auto"/>
              <w:right w:val="nil"/>
            </w:tcBorders>
          </w:tcPr>
          <w:p w14:paraId="1049DC97"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Frequency for Male Participants</w:t>
            </w:r>
          </w:p>
        </w:tc>
        <w:tc>
          <w:tcPr>
            <w:tcW w:w="1632" w:type="dxa"/>
            <w:tcBorders>
              <w:top w:val="single" w:sz="6" w:space="0" w:color="auto"/>
              <w:left w:val="nil"/>
              <w:bottom w:val="single" w:sz="6" w:space="0" w:color="auto"/>
              <w:right w:val="nil"/>
            </w:tcBorders>
          </w:tcPr>
          <w:p w14:paraId="7CA0450C"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Frequency for Female Participants</w:t>
            </w:r>
          </w:p>
        </w:tc>
      </w:tr>
      <w:tr w:rsidR="00452F5A" w14:paraId="04A381A6" w14:textId="77777777" w:rsidTr="00ED42E0">
        <w:trPr>
          <w:trHeight w:val="424"/>
        </w:trPr>
        <w:tc>
          <w:tcPr>
            <w:tcW w:w="3777" w:type="dxa"/>
            <w:tcBorders>
              <w:top w:val="nil"/>
              <w:left w:val="nil"/>
              <w:bottom w:val="nil"/>
              <w:right w:val="nil"/>
            </w:tcBorders>
          </w:tcPr>
          <w:p w14:paraId="4AE4DFCC"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about whereabouts by in-laws</w:t>
            </w:r>
          </w:p>
        </w:tc>
        <w:tc>
          <w:tcPr>
            <w:tcW w:w="2209" w:type="dxa"/>
            <w:tcBorders>
              <w:top w:val="nil"/>
              <w:left w:val="nil"/>
              <w:bottom w:val="nil"/>
              <w:right w:val="nil"/>
            </w:tcBorders>
          </w:tcPr>
          <w:p w14:paraId="496A81E8"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56.7</w:t>
            </w:r>
          </w:p>
        </w:tc>
        <w:tc>
          <w:tcPr>
            <w:tcW w:w="1840" w:type="dxa"/>
            <w:tcBorders>
              <w:top w:val="nil"/>
              <w:left w:val="nil"/>
              <w:bottom w:val="nil"/>
              <w:right w:val="nil"/>
            </w:tcBorders>
          </w:tcPr>
          <w:p w14:paraId="1606713C"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55.3</w:t>
            </w:r>
          </w:p>
        </w:tc>
        <w:tc>
          <w:tcPr>
            <w:tcW w:w="1632" w:type="dxa"/>
            <w:tcBorders>
              <w:top w:val="nil"/>
              <w:left w:val="nil"/>
              <w:bottom w:val="nil"/>
              <w:right w:val="nil"/>
            </w:tcBorders>
          </w:tcPr>
          <w:p w14:paraId="1032B702"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57.8</w:t>
            </w:r>
          </w:p>
        </w:tc>
      </w:tr>
      <w:tr w:rsidR="00452F5A" w14:paraId="7AE1AE19" w14:textId="77777777" w:rsidTr="00ED42E0">
        <w:trPr>
          <w:trHeight w:val="424"/>
        </w:trPr>
        <w:tc>
          <w:tcPr>
            <w:tcW w:w="3777" w:type="dxa"/>
            <w:tcBorders>
              <w:top w:val="nil"/>
              <w:left w:val="nil"/>
              <w:bottom w:val="nil"/>
              <w:right w:val="nil"/>
            </w:tcBorders>
          </w:tcPr>
          <w:p w14:paraId="0FB18072"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over financial matters by in-laws</w:t>
            </w:r>
          </w:p>
        </w:tc>
        <w:tc>
          <w:tcPr>
            <w:tcW w:w="2209" w:type="dxa"/>
            <w:tcBorders>
              <w:top w:val="nil"/>
              <w:left w:val="nil"/>
              <w:bottom w:val="nil"/>
              <w:right w:val="nil"/>
            </w:tcBorders>
          </w:tcPr>
          <w:p w14:paraId="27993F4D"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60.3</w:t>
            </w:r>
          </w:p>
        </w:tc>
        <w:tc>
          <w:tcPr>
            <w:tcW w:w="1840" w:type="dxa"/>
            <w:tcBorders>
              <w:top w:val="nil"/>
              <w:left w:val="nil"/>
              <w:bottom w:val="nil"/>
              <w:right w:val="nil"/>
            </w:tcBorders>
          </w:tcPr>
          <w:p w14:paraId="3D1E350E"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56.1</w:t>
            </w:r>
          </w:p>
        </w:tc>
        <w:tc>
          <w:tcPr>
            <w:tcW w:w="1632" w:type="dxa"/>
            <w:tcBorders>
              <w:top w:val="nil"/>
              <w:left w:val="nil"/>
              <w:bottom w:val="nil"/>
              <w:right w:val="nil"/>
            </w:tcBorders>
          </w:tcPr>
          <w:p w14:paraId="4AE629E2"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63.5</w:t>
            </w:r>
          </w:p>
        </w:tc>
      </w:tr>
      <w:tr w:rsidR="00452F5A" w14:paraId="730F65E5" w14:textId="77777777" w:rsidTr="00ED42E0">
        <w:trPr>
          <w:trHeight w:val="424"/>
        </w:trPr>
        <w:tc>
          <w:tcPr>
            <w:tcW w:w="3777" w:type="dxa"/>
            <w:tcBorders>
              <w:top w:val="nil"/>
              <w:left w:val="nil"/>
              <w:bottom w:val="nil"/>
              <w:right w:val="nil"/>
            </w:tcBorders>
          </w:tcPr>
          <w:p w14:paraId="3EE0DD9B"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Demeaning tone used by in-laws</w:t>
            </w:r>
          </w:p>
        </w:tc>
        <w:tc>
          <w:tcPr>
            <w:tcW w:w="2209" w:type="dxa"/>
            <w:tcBorders>
              <w:top w:val="nil"/>
              <w:left w:val="nil"/>
              <w:bottom w:val="nil"/>
              <w:right w:val="nil"/>
            </w:tcBorders>
          </w:tcPr>
          <w:p w14:paraId="53A26C22"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65.3</w:t>
            </w:r>
          </w:p>
        </w:tc>
        <w:tc>
          <w:tcPr>
            <w:tcW w:w="1840" w:type="dxa"/>
            <w:tcBorders>
              <w:top w:val="nil"/>
              <w:left w:val="nil"/>
              <w:bottom w:val="nil"/>
              <w:right w:val="nil"/>
            </w:tcBorders>
          </w:tcPr>
          <w:p w14:paraId="191B329D"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59.1</w:t>
            </w:r>
          </w:p>
        </w:tc>
        <w:tc>
          <w:tcPr>
            <w:tcW w:w="1632" w:type="dxa"/>
            <w:tcBorders>
              <w:top w:val="nil"/>
              <w:left w:val="nil"/>
              <w:bottom w:val="nil"/>
              <w:right w:val="nil"/>
            </w:tcBorders>
          </w:tcPr>
          <w:p w14:paraId="437177D8"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71.7</w:t>
            </w:r>
          </w:p>
        </w:tc>
      </w:tr>
      <w:tr w:rsidR="00452F5A" w14:paraId="0DD54118" w14:textId="77777777" w:rsidTr="00ED42E0">
        <w:trPr>
          <w:trHeight w:val="424"/>
        </w:trPr>
        <w:tc>
          <w:tcPr>
            <w:tcW w:w="3777" w:type="dxa"/>
            <w:tcBorders>
              <w:top w:val="nil"/>
              <w:left w:val="nil"/>
              <w:bottom w:val="single" w:sz="6" w:space="0" w:color="auto"/>
              <w:right w:val="nil"/>
            </w:tcBorders>
          </w:tcPr>
          <w:p w14:paraId="30C4E686"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Physical harm by in-laws</w:t>
            </w:r>
          </w:p>
        </w:tc>
        <w:tc>
          <w:tcPr>
            <w:tcW w:w="2209" w:type="dxa"/>
            <w:tcBorders>
              <w:top w:val="nil"/>
              <w:left w:val="nil"/>
              <w:bottom w:val="single" w:sz="6" w:space="0" w:color="auto"/>
              <w:right w:val="nil"/>
            </w:tcBorders>
          </w:tcPr>
          <w:p w14:paraId="0CCC5E8D"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69.1</w:t>
            </w:r>
          </w:p>
        </w:tc>
        <w:tc>
          <w:tcPr>
            <w:tcW w:w="1840" w:type="dxa"/>
            <w:tcBorders>
              <w:top w:val="nil"/>
              <w:left w:val="nil"/>
              <w:bottom w:val="single" w:sz="6" w:space="0" w:color="auto"/>
              <w:right w:val="nil"/>
            </w:tcBorders>
          </w:tcPr>
          <w:p w14:paraId="1753FFB9"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63.6</w:t>
            </w:r>
          </w:p>
        </w:tc>
        <w:tc>
          <w:tcPr>
            <w:tcW w:w="1632" w:type="dxa"/>
            <w:tcBorders>
              <w:top w:val="nil"/>
              <w:left w:val="nil"/>
              <w:bottom w:val="single" w:sz="6" w:space="0" w:color="auto"/>
              <w:right w:val="nil"/>
            </w:tcBorders>
          </w:tcPr>
          <w:p w14:paraId="0C860E0A"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74.8</w:t>
            </w:r>
          </w:p>
        </w:tc>
      </w:tr>
    </w:tbl>
    <w:p w14:paraId="492EF6AE" w14:textId="77777777" w:rsidR="00452F5A" w:rsidRPr="00D268EC" w:rsidRDefault="00452F5A" w:rsidP="00452F5A">
      <w:pPr>
        <w:contextualSpacing/>
        <w:rPr>
          <w:i/>
          <w:iCs/>
          <w:sz w:val="20"/>
          <w:szCs w:val="20"/>
        </w:rPr>
      </w:pPr>
      <w:r w:rsidRPr="00D268EC">
        <w:rPr>
          <w:i/>
          <w:iCs/>
          <w:sz w:val="20"/>
          <w:szCs w:val="20"/>
        </w:rPr>
        <w:t>*Total men in the sample= 198</w:t>
      </w:r>
    </w:p>
    <w:p w14:paraId="29BA5D8F" w14:textId="77777777" w:rsidR="00452F5A" w:rsidRPr="00D268EC" w:rsidRDefault="00452F5A" w:rsidP="00452F5A">
      <w:pPr>
        <w:contextualSpacing/>
        <w:rPr>
          <w:i/>
          <w:iCs/>
          <w:sz w:val="20"/>
          <w:szCs w:val="20"/>
        </w:rPr>
      </w:pPr>
      <w:r w:rsidRPr="00D268EC">
        <w:rPr>
          <w:i/>
          <w:iCs/>
          <w:sz w:val="20"/>
          <w:szCs w:val="20"/>
        </w:rPr>
        <w:t>*Total women in the sample= 252</w:t>
      </w:r>
    </w:p>
    <w:p w14:paraId="6DA40373" w14:textId="77777777" w:rsidR="00452F5A" w:rsidRPr="00D268EC" w:rsidRDefault="00452F5A" w:rsidP="00452F5A">
      <w:pPr>
        <w:contextualSpacing/>
        <w:rPr>
          <w:i/>
          <w:iCs/>
          <w:sz w:val="20"/>
          <w:szCs w:val="20"/>
        </w:rPr>
      </w:pPr>
      <w:r w:rsidRPr="00D268EC">
        <w:rPr>
          <w:i/>
          <w:iCs/>
          <w:sz w:val="20"/>
          <w:szCs w:val="20"/>
        </w:rPr>
        <w:t>*Number of male and female participants do not total 468 due to some missingness.</w:t>
      </w:r>
    </w:p>
    <w:p w14:paraId="4E701A8B" w14:textId="77777777" w:rsidR="00D268EC" w:rsidRDefault="00D268EC" w:rsidP="00452F5A"/>
    <w:p w14:paraId="57CB3CF0" w14:textId="4F175DA3" w:rsidR="00452F5A" w:rsidRPr="002B588D" w:rsidRDefault="00452F5A" w:rsidP="00452F5A">
      <w:pPr>
        <w:rPr>
          <w:sz w:val="22"/>
          <w:szCs w:val="22"/>
        </w:rPr>
      </w:pPr>
      <w:r w:rsidRPr="002B588D">
        <w:rPr>
          <w:sz w:val="22"/>
          <w:szCs w:val="22"/>
        </w:rPr>
        <w:t>Table 2.</w:t>
      </w:r>
    </w:p>
    <w:p w14:paraId="2AED9B74" w14:textId="77777777" w:rsidR="00452F5A" w:rsidRPr="002B588D" w:rsidRDefault="00452F5A" w:rsidP="00452F5A">
      <w:pPr>
        <w:rPr>
          <w:sz w:val="22"/>
          <w:szCs w:val="22"/>
        </w:rPr>
      </w:pPr>
      <w:r w:rsidRPr="002B588D">
        <w:rPr>
          <w:sz w:val="22"/>
          <w:szCs w:val="22"/>
        </w:rPr>
        <w:t>Exploratory Factor Analysis Results for the Overall Sample</w:t>
      </w:r>
    </w:p>
    <w:p w14:paraId="787189ED" w14:textId="77777777" w:rsidR="00452F5A" w:rsidRDefault="00452F5A" w:rsidP="00452F5A"/>
    <w:tbl>
      <w:tblPr>
        <w:tblW w:w="0" w:type="auto"/>
        <w:tblInd w:w="-30" w:type="dxa"/>
        <w:tblLayout w:type="fixed"/>
        <w:tblLook w:val="0000" w:firstRow="0" w:lastRow="0" w:firstColumn="0" w:lastColumn="0" w:noHBand="0" w:noVBand="0"/>
      </w:tblPr>
      <w:tblGrid>
        <w:gridCol w:w="4460"/>
        <w:gridCol w:w="2660"/>
      </w:tblGrid>
      <w:tr w:rsidR="00452F5A" w:rsidRPr="000D2BD1" w14:paraId="07ADA7AB" w14:textId="77777777" w:rsidTr="00ED42E0">
        <w:trPr>
          <w:trHeight w:val="300"/>
        </w:trPr>
        <w:tc>
          <w:tcPr>
            <w:tcW w:w="4460" w:type="dxa"/>
            <w:tcBorders>
              <w:top w:val="single" w:sz="6" w:space="0" w:color="auto"/>
              <w:left w:val="nil"/>
              <w:bottom w:val="single" w:sz="6" w:space="0" w:color="auto"/>
              <w:right w:val="nil"/>
            </w:tcBorders>
          </w:tcPr>
          <w:p w14:paraId="36C552AB" w14:textId="77777777" w:rsidR="00452F5A" w:rsidRPr="000D2BD1" w:rsidRDefault="00452F5A" w:rsidP="00ED42E0">
            <w:pPr>
              <w:autoSpaceDE w:val="0"/>
              <w:autoSpaceDN w:val="0"/>
              <w:adjustRightInd w:val="0"/>
              <w:rPr>
                <w:b/>
                <w:bCs/>
                <w:color w:val="000000"/>
              </w:rPr>
            </w:pPr>
            <w:r w:rsidRPr="000D2BD1">
              <w:rPr>
                <w:b/>
                <w:bCs/>
                <w:color w:val="000000"/>
              </w:rPr>
              <w:t>Item</w:t>
            </w:r>
          </w:p>
        </w:tc>
        <w:tc>
          <w:tcPr>
            <w:tcW w:w="2660" w:type="dxa"/>
            <w:tcBorders>
              <w:top w:val="single" w:sz="6" w:space="0" w:color="auto"/>
              <w:left w:val="nil"/>
              <w:bottom w:val="single" w:sz="6" w:space="0" w:color="auto"/>
              <w:right w:val="nil"/>
            </w:tcBorders>
          </w:tcPr>
          <w:p w14:paraId="4B01307A" w14:textId="77777777" w:rsidR="00452F5A" w:rsidRPr="000D2BD1" w:rsidRDefault="00452F5A" w:rsidP="00ED42E0">
            <w:pPr>
              <w:autoSpaceDE w:val="0"/>
              <w:autoSpaceDN w:val="0"/>
              <w:adjustRightInd w:val="0"/>
              <w:rPr>
                <w:b/>
                <w:bCs/>
                <w:color w:val="000000"/>
              </w:rPr>
            </w:pPr>
            <w:r w:rsidRPr="000D2BD1">
              <w:rPr>
                <w:b/>
                <w:bCs/>
                <w:color w:val="000000"/>
              </w:rPr>
              <w:t>Overall Factor Loading</w:t>
            </w:r>
          </w:p>
        </w:tc>
      </w:tr>
      <w:tr w:rsidR="00452F5A" w:rsidRPr="000D2BD1" w14:paraId="2D1A0899" w14:textId="77777777" w:rsidTr="00ED42E0">
        <w:trPr>
          <w:trHeight w:val="300"/>
        </w:trPr>
        <w:tc>
          <w:tcPr>
            <w:tcW w:w="4460" w:type="dxa"/>
            <w:tcBorders>
              <w:top w:val="nil"/>
              <w:left w:val="nil"/>
              <w:bottom w:val="nil"/>
              <w:right w:val="nil"/>
            </w:tcBorders>
          </w:tcPr>
          <w:p w14:paraId="2C05FB74" w14:textId="77777777" w:rsidR="00452F5A" w:rsidRPr="000D2BD1" w:rsidRDefault="00452F5A" w:rsidP="00ED42E0">
            <w:pPr>
              <w:autoSpaceDE w:val="0"/>
              <w:autoSpaceDN w:val="0"/>
              <w:adjustRightInd w:val="0"/>
              <w:rPr>
                <w:color w:val="000000"/>
              </w:rPr>
            </w:pPr>
            <w:r w:rsidRPr="000D2BD1">
              <w:rPr>
                <w:color w:val="000000"/>
              </w:rPr>
              <w:t>Interference about whereabouts by in-laws</w:t>
            </w:r>
          </w:p>
        </w:tc>
        <w:tc>
          <w:tcPr>
            <w:tcW w:w="2660" w:type="dxa"/>
            <w:tcBorders>
              <w:top w:val="nil"/>
              <w:left w:val="nil"/>
              <w:bottom w:val="nil"/>
              <w:right w:val="nil"/>
            </w:tcBorders>
          </w:tcPr>
          <w:p w14:paraId="7C8C4AAF" w14:textId="77777777" w:rsidR="00452F5A" w:rsidRPr="000D2BD1" w:rsidRDefault="00452F5A" w:rsidP="00ED42E0">
            <w:pPr>
              <w:autoSpaceDE w:val="0"/>
              <w:autoSpaceDN w:val="0"/>
              <w:adjustRightInd w:val="0"/>
              <w:jc w:val="right"/>
              <w:rPr>
                <w:color w:val="000000"/>
              </w:rPr>
            </w:pPr>
            <w:r w:rsidRPr="000D2BD1">
              <w:rPr>
                <w:color w:val="000000"/>
              </w:rPr>
              <w:t>0.90</w:t>
            </w:r>
          </w:p>
        </w:tc>
      </w:tr>
      <w:tr w:rsidR="00452F5A" w:rsidRPr="000D2BD1" w14:paraId="785E7477" w14:textId="77777777" w:rsidTr="00ED42E0">
        <w:trPr>
          <w:trHeight w:val="300"/>
        </w:trPr>
        <w:tc>
          <w:tcPr>
            <w:tcW w:w="4460" w:type="dxa"/>
            <w:tcBorders>
              <w:top w:val="nil"/>
              <w:left w:val="nil"/>
              <w:bottom w:val="nil"/>
              <w:right w:val="nil"/>
            </w:tcBorders>
          </w:tcPr>
          <w:p w14:paraId="5AC89425" w14:textId="77777777" w:rsidR="00452F5A" w:rsidRPr="000D2BD1" w:rsidRDefault="00452F5A" w:rsidP="00ED42E0">
            <w:pPr>
              <w:autoSpaceDE w:val="0"/>
              <w:autoSpaceDN w:val="0"/>
              <w:adjustRightInd w:val="0"/>
              <w:rPr>
                <w:color w:val="000000"/>
              </w:rPr>
            </w:pPr>
            <w:r w:rsidRPr="000D2BD1">
              <w:rPr>
                <w:color w:val="000000"/>
              </w:rPr>
              <w:t>Interference over financial matters by in-laws</w:t>
            </w:r>
          </w:p>
        </w:tc>
        <w:tc>
          <w:tcPr>
            <w:tcW w:w="2660" w:type="dxa"/>
            <w:tcBorders>
              <w:top w:val="nil"/>
              <w:left w:val="nil"/>
              <w:bottom w:val="nil"/>
              <w:right w:val="nil"/>
            </w:tcBorders>
          </w:tcPr>
          <w:p w14:paraId="5BE842FB" w14:textId="77777777" w:rsidR="00452F5A" w:rsidRPr="000D2BD1" w:rsidRDefault="00452F5A" w:rsidP="00ED42E0">
            <w:pPr>
              <w:autoSpaceDE w:val="0"/>
              <w:autoSpaceDN w:val="0"/>
              <w:adjustRightInd w:val="0"/>
              <w:jc w:val="right"/>
              <w:rPr>
                <w:color w:val="000000"/>
              </w:rPr>
            </w:pPr>
            <w:r w:rsidRPr="000D2BD1">
              <w:rPr>
                <w:color w:val="000000"/>
              </w:rPr>
              <w:t>0.92</w:t>
            </w:r>
          </w:p>
        </w:tc>
      </w:tr>
      <w:tr w:rsidR="00452F5A" w:rsidRPr="000D2BD1" w14:paraId="7FFA8A0A" w14:textId="77777777" w:rsidTr="00ED42E0">
        <w:trPr>
          <w:trHeight w:val="300"/>
        </w:trPr>
        <w:tc>
          <w:tcPr>
            <w:tcW w:w="4460" w:type="dxa"/>
            <w:tcBorders>
              <w:top w:val="nil"/>
              <w:left w:val="nil"/>
              <w:bottom w:val="nil"/>
              <w:right w:val="nil"/>
            </w:tcBorders>
          </w:tcPr>
          <w:p w14:paraId="5AA6FEE7" w14:textId="77777777" w:rsidR="00452F5A" w:rsidRPr="000D2BD1" w:rsidRDefault="00452F5A" w:rsidP="00ED42E0">
            <w:pPr>
              <w:autoSpaceDE w:val="0"/>
              <w:autoSpaceDN w:val="0"/>
              <w:adjustRightInd w:val="0"/>
              <w:rPr>
                <w:color w:val="000000"/>
              </w:rPr>
            </w:pPr>
            <w:r w:rsidRPr="000D2BD1">
              <w:rPr>
                <w:color w:val="000000"/>
              </w:rPr>
              <w:t>Demeaning tone used by in-laws</w:t>
            </w:r>
          </w:p>
        </w:tc>
        <w:tc>
          <w:tcPr>
            <w:tcW w:w="2660" w:type="dxa"/>
            <w:tcBorders>
              <w:top w:val="nil"/>
              <w:left w:val="nil"/>
              <w:bottom w:val="nil"/>
              <w:right w:val="nil"/>
            </w:tcBorders>
          </w:tcPr>
          <w:p w14:paraId="538DBF8E" w14:textId="77777777" w:rsidR="00452F5A" w:rsidRPr="000D2BD1" w:rsidRDefault="00452F5A" w:rsidP="00ED42E0">
            <w:pPr>
              <w:autoSpaceDE w:val="0"/>
              <w:autoSpaceDN w:val="0"/>
              <w:adjustRightInd w:val="0"/>
              <w:jc w:val="right"/>
              <w:rPr>
                <w:color w:val="000000"/>
              </w:rPr>
            </w:pPr>
            <w:r w:rsidRPr="000D2BD1">
              <w:rPr>
                <w:color w:val="000000"/>
              </w:rPr>
              <w:t>0.94</w:t>
            </w:r>
          </w:p>
        </w:tc>
      </w:tr>
      <w:tr w:rsidR="00452F5A" w:rsidRPr="000D2BD1" w14:paraId="46BC58CF" w14:textId="77777777" w:rsidTr="00ED42E0">
        <w:trPr>
          <w:trHeight w:val="300"/>
        </w:trPr>
        <w:tc>
          <w:tcPr>
            <w:tcW w:w="4460" w:type="dxa"/>
            <w:tcBorders>
              <w:top w:val="nil"/>
              <w:left w:val="nil"/>
              <w:bottom w:val="single" w:sz="6" w:space="0" w:color="auto"/>
              <w:right w:val="nil"/>
            </w:tcBorders>
          </w:tcPr>
          <w:p w14:paraId="498EB192" w14:textId="77777777" w:rsidR="00452F5A" w:rsidRPr="000D2BD1" w:rsidRDefault="00452F5A" w:rsidP="00ED42E0">
            <w:pPr>
              <w:autoSpaceDE w:val="0"/>
              <w:autoSpaceDN w:val="0"/>
              <w:adjustRightInd w:val="0"/>
              <w:rPr>
                <w:color w:val="000000"/>
              </w:rPr>
            </w:pPr>
            <w:r w:rsidRPr="000D2BD1">
              <w:rPr>
                <w:color w:val="000000"/>
              </w:rPr>
              <w:t>Physical harm by in-laws</w:t>
            </w:r>
          </w:p>
        </w:tc>
        <w:tc>
          <w:tcPr>
            <w:tcW w:w="2660" w:type="dxa"/>
            <w:tcBorders>
              <w:top w:val="nil"/>
              <w:left w:val="nil"/>
              <w:bottom w:val="single" w:sz="6" w:space="0" w:color="auto"/>
              <w:right w:val="nil"/>
            </w:tcBorders>
          </w:tcPr>
          <w:p w14:paraId="023F0556" w14:textId="77777777" w:rsidR="00452F5A" w:rsidRPr="000D2BD1" w:rsidRDefault="00452F5A" w:rsidP="00ED42E0">
            <w:pPr>
              <w:autoSpaceDE w:val="0"/>
              <w:autoSpaceDN w:val="0"/>
              <w:adjustRightInd w:val="0"/>
              <w:jc w:val="right"/>
              <w:rPr>
                <w:color w:val="000000"/>
              </w:rPr>
            </w:pPr>
            <w:r w:rsidRPr="000D2BD1">
              <w:rPr>
                <w:color w:val="000000"/>
              </w:rPr>
              <w:t>0.83</w:t>
            </w:r>
          </w:p>
        </w:tc>
      </w:tr>
    </w:tbl>
    <w:p w14:paraId="42A7C941" w14:textId="77777777" w:rsidR="00452F5A" w:rsidRPr="000D2BD1" w:rsidRDefault="00452F5A" w:rsidP="00452F5A"/>
    <w:p w14:paraId="39E09B1B" w14:textId="77777777" w:rsidR="00452F5A" w:rsidRPr="002B588D" w:rsidRDefault="00452F5A" w:rsidP="00452F5A">
      <w:pPr>
        <w:rPr>
          <w:sz w:val="22"/>
          <w:szCs w:val="22"/>
        </w:rPr>
      </w:pPr>
      <w:r w:rsidRPr="002B588D">
        <w:rPr>
          <w:sz w:val="22"/>
          <w:szCs w:val="22"/>
        </w:rPr>
        <w:t>Table 3.</w:t>
      </w:r>
    </w:p>
    <w:p w14:paraId="78AB2223" w14:textId="77777777" w:rsidR="00452F5A" w:rsidRPr="002B588D" w:rsidRDefault="00452F5A" w:rsidP="00452F5A">
      <w:pPr>
        <w:rPr>
          <w:sz w:val="22"/>
          <w:szCs w:val="22"/>
        </w:rPr>
      </w:pPr>
      <w:r w:rsidRPr="002B588D">
        <w:rPr>
          <w:sz w:val="22"/>
          <w:szCs w:val="22"/>
        </w:rPr>
        <w:t>Exploratory Factor Analysis Results for Male Participants</w:t>
      </w:r>
    </w:p>
    <w:p w14:paraId="584995EB" w14:textId="77777777" w:rsidR="00452F5A" w:rsidRPr="002B588D" w:rsidRDefault="00452F5A" w:rsidP="00452F5A">
      <w:pPr>
        <w:rPr>
          <w:sz w:val="22"/>
          <w:szCs w:val="22"/>
        </w:rPr>
      </w:pPr>
    </w:p>
    <w:tbl>
      <w:tblPr>
        <w:tblW w:w="0" w:type="auto"/>
        <w:tblInd w:w="-30" w:type="dxa"/>
        <w:tblLayout w:type="fixed"/>
        <w:tblLook w:val="0000" w:firstRow="0" w:lastRow="0" w:firstColumn="0" w:lastColumn="0" w:noHBand="0" w:noVBand="0"/>
      </w:tblPr>
      <w:tblGrid>
        <w:gridCol w:w="4960"/>
        <w:gridCol w:w="1980"/>
      </w:tblGrid>
      <w:tr w:rsidR="00452F5A" w:rsidRPr="002B588D" w14:paraId="071FB1F9" w14:textId="77777777" w:rsidTr="00ED42E0">
        <w:trPr>
          <w:trHeight w:val="300"/>
        </w:trPr>
        <w:tc>
          <w:tcPr>
            <w:tcW w:w="4960" w:type="dxa"/>
            <w:tcBorders>
              <w:top w:val="single" w:sz="6" w:space="0" w:color="auto"/>
              <w:left w:val="nil"/>
              <w:bottom w:val="single" w:sz="6" w:space="0" w:color="auto"/>
              <w:right w:val="nil"/>
            </w:tcBorders>
          </w:tcPr>
          <w:p w14:paraId="1A09464B"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Item</w:t>
            </w:r>
          </w:p>
        </w:tc>
        <w:tc>
          <w:tcPr>
            <w:tcW w:w="1980" w:type="dxa"/>
            <w:tcBorders>
              <w:top w:val="single" w:sz="6" w:space="0" w:color="auto"/>
              <w:left w:val="nil"/>
              <w:bottom w:val="single" w:sz="6" w:space="0" w:color="auto"/>
              <w:right w:val="nil"/>
            </w:tcBorders>
          </w:tcPr>
          <w:p w14:paraId="70DA70A1"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 xml:space="preserve"> Factor Loading</w:t>
            </w:r>
          </w:p>
        </w:tc>
      </w:tr>
      <w:tr w:rsidR="00452F5A" w:rsidRPr="002B588D" w14:paraId="48C78DD0" w14:textId="77777777" w:rsidTr="00ED42E0">
        <w:trPr>
          <w:trHeight w:val="300"/>
        </w:trPr>
        <w:tc>
          <w:tcPr>
            <w:tcW w:w="4960" w:type="dxa"/>
            <w:tcBorders>
              <w:top w:val="nil"/>
              <w:left w:val="nil"/>
              <w:bottom w:val="nil"/>
              <w:right w:val="nil"/>
            </w:tcBorders>
          </w:tcPr>
          <w:p w14:paraId="65FB5D12"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about whereabouts by in-laws</w:t>
            </w:r>
          </w:p>
        </w:tc>
        <w:tc>
          <w:tcPr>
            <w:tcW w:w="1980" w:type="dxa"/>
            <w:tcBorders>
              <w:top w:val="nil"/>
              <w:left w:val="nil"/>
              <w:bottom w:val="nil"/>
              <w:right w:val="nil"/>
            </w:tcBorders>
          </w:tcPr>
          <w:p w14:paraId="772E5D8B"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0.87</w:t>
            </w:r>
          </w:p>
        </w:tc>
      </w:tr>
      <w:tr w:rsidR="00452F5A" w:rsidRPr="002B588D" w14:paraId="46E42700" w14:textId="77777777" w:rsidTr="00ED42E0">
        <w:trPr>
          <w:trHeight w:val="300"/>
        </w:trPr>
        <w:tc>
          <w:tcPr>
            <w:tcW w:w="4960" w:type="dxa"/>
            <w:tcBorders>
              <w:top w:val="nil"/>
              <w:left w:val="nil"/>
              <w:bottom w:val="nil"/>
              <w:right w:val="nil"/>
            </w:tcBorders>
          </w:tcPr>
          <w:p w14:paraId="2A984931"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over financial matters by in-laws</w:t>
            </w:r>
          </w:p>
        </w:tc>
        <w:tc>
          <w:tcPr>
            <w:tcW w:w="1980" w:type="dxa"/>
            <w:tcBorders>
              <w:top w:val="nil"/>
              <w:left w:val="nil"/>
              <w:bottom w:val="nil"/>
              <w:right w:val="nil"/>
            </w:tcBorders>
          </w:tcPr>
          <w:p w14:paraId="2F3CB478"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0.91</w:t>
            </w:r>
          </w:p>
        </w:tc>
      </w:tr>
      <w:tr w:rsidR="00452F5A" w:rsidRPr="002B588D" w14:paraId="64A900E3" w14:textId="77777777" w:rsidTr="00ED42E0">
        <w:trPr>
          <w:trHeight w:val="300"/>
        </w:trPr>
        <w:tc>
          <w:tcPr>
            <w:tcW w:w="4960" w:type="dxa"/>
            <w:tcBorders>
              <w:top w:val="nil"/>
              <w:left w:val="nil"/>
              <w:bottom w:val="nil"/>
              <w:right w:val="nil"/>
            </w:tcBorders>
          </w:tcPr>
          <w:p w14:paraId="39B908D0"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Demeaning tone used by in-laws</w:t>
            </w:r>
          </w:p>
        </w:tc>
        <w:tc>
          <w:tcPr>
            <w:tcW w:w="1980" w:type="dxa"/>
            <w:tcBorders>
              <w:top w:val="nil"/>
              <w:left w:val="nil"/>
              <w:bottom w:val="nil"/>
              <w:right w:val="nil"/>
            </w:tcBorders>
          </w:tcPr>
          <w:p w14:paraId="0A93D6ED"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0.93</w:t>
            </w:r>
          </w:p>
        </w:tc>
      </w:tr>
      <w:tr w:rsidR="00452F5A" w:rsidRPr="002B588D" w14:paraId="0B812E18" w14:textId="77777777" w:rsidTr="00ED42E0">
        <w:trPr>
          <w:trHeight w:val="300"/>
        </w:trPr>
        <w:tc>
          <w:tcPr>
            <w:tcW w:w="4960" w:type="dxa"/>
            <w:tcBorders>
              <w:top w:val="nil"/>
              <w:left w:val="nil"/>
              <w:bottom w:val="single" w:sz="6" w:space="0" w:color="auto"/>
              <w:right w:val="nil"/>
            </w:tcBorders>
          </w:tcPr>
          <w:p w14:paraId="4293E68C"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Physical harm by in-laws</w:t>
            </w:r>
          </w:p>
        </w:tc>
        <w:tc>
          <w:tcPr>
            <w:tcW w:w="1980" w:type="dxa"/>
            <w:tcBorders>
              <w:top w:val="nil"/>
              <w:left w:val="nil"/>
              <w:bottom w:val="single" w:sz="6" w:space="0" w:color="auto"/>
              <w:right w:val="nil"/>
            </w:tcBorders>
          </w:tcPr>
          <w:p w14:paraId="3F0059C8"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0.84</w:t>
            </w:r>
          </w:p>
        </w:tc>
      </w:tr>
    </w:tbl>
    <w:p w14:paraId="75D1F96D" w14:textId="77777777" w:rsidR="00452F5A" w:rsidRDefault="00452F5A" w:rsidP="00452F5A"/>
    <w:p w14:paraId="135AB8F8" w14:textId="77777777" w:rsidR="00452F5A" w:rsidRPr="002B588D" w:rsidRDefault="00452F5A" w:rsidP="00452F5A">
      <w:pPr>
        <w:rPr>
          <w:sz w:val="22"/>
          <w:szCs w:val="22"/>
        </w:rPr>
      </w:pPr>
      <w:r w:rsidRPr="002B588D">
        <w:rPr>
          <w:sz w:val="22"/>
          <w:szCs w:val="22"/>
        </w:rPr>
        <w:t>Table 4.</w:t>
      </w:r>
    </w:p>
    <w:p w14:paraId="1A76CB00" w14:textId="77777777" w:rsidR="00452F5A" w:rsidRPr="002B588D" w:rsidRDefault="00452F5A" w:rsidP="00452F5A">
      <w:pPr>
        <w:rPr>
          <w:sz w:val="22"/>
          <w:szCs w:val="22"/>
        </w:rPr>
      </w:pPr>
      <w:r w:rsidRPr="002B588D">
        <w:rPr>
          <w:sz w:val="22"/>
          <w:szCs w:val="22"/>
        </w:rPr>
        <w:t>Exploratory Factor Analysis Results for Female Participants</w:t>
      </w:r>
    </w:p>
    <w:p w14:paraId="5A568EB9" w14:textId="77777777" w:rsidR="00452F5A" w:rsidRPr="002B588D" w:rsidRDefault="00452F5A" w:rsidP="00452F5A">
      <w:pPr>
        <w:rPr>
          <w:sz w:val="22"/>
          <w:szCs w:val="22"/>
        </w:rPr>
      </w:pPr>
    </w:p>
    <w:tbl>
      <w:tblPr>
        <w:tblW w:w="0" w:type="auto"/>
        <w:tblInd w:w="-30" w:type="dxa"/>
        <w:tblLayout w:type="fixed"/>
        <w:tblLook w:val="0000" w:firstRow="0" w:lastRow="0" w:firstColumn="0" w:lastColumn="0" w:noHBand="0" w:noVBand="0"/>
      </w:tblPr>
      <w:tblGrid>
        <w:gridCol w:w="4960"/>
        <w:gridCol w:w="1720"/>
      </w:tblGrid>
      <w:tr w:rsidR="00452F5A" w:rsidRPr="002B588D" w14:paraId="113CE46E" w14:textId="77777777" w:rsidTr="00ED42E0">
        <w:trPr>
          <w:trHeight w:val="300"/>
        </w:trPr>
        <w:tc>
          <w:tcPr>
            <w:tcW w:w="4960" w:type="dxa"/>
            <w:tcBorders>
              <w:top w:val="single" w:sz="6" w:space="0" w:color="auto"/>
              <w:left w:val="nil"/>
              <w:bottom w:val="single" w:sz="6" w:space="0" w:color="auto"/>
              <w:right w:val="nil"/>
            </w:tcBorders>
          </w:tcPr>
          <w:p w14:paraId="45AE333C"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Item</w:t>
            </w:r>
          </w:p>
        </w:tc>
        <w:tc>
          <w:tcPr>
            <w:tcW w:w="1720" w:type="dxa"/>
            <w:tcBorders>
              <w:top w:val="single" w:sz="6" w:space="0" w:color="auto"/>
              <w:left w:val="nil"/>
              <w:bottom w:val="single" w:sz="6" w:space="0" w:color="auto"/>
              <w:right w:val="nil"/>
            </w:tcBorders>
          </w:tcPr>
          <w:p w14:paraId="46F07171" w14:textId="77777777" w:rsidR="00452F5A" w:rsidRPr="002B588D" w:rsidRDefault="00452F5A" w:rsidP="00ED42E0">
            <w:pPr>
              <w:autoSpaceDE w:val="0"/>
              <w:autoSpaceDN w:val="0"/>
              <w:adjustRightInd w:val="0"/>
              <w:rPr>
                <w:b/>
                <w:bCs/>
                <w:color w:val="000000"/>
                <w:sz w:val="22"/>
                <w:szCs w:val="22"/>
              </w:rPr>
            </w:pPr>
            <w:r w:rsidRPr="002B588D">
              <w:rPr>
                <w:b/>
                <w:bCs/>
                <w:color w:val="000000"/>
                <w:sz w:val="22"/>
                <w:szCs w:val="22"/>
              </w:rPr>
              <w:t xml:space="preserve"> Factor Loading</w:t>
            </w:r>
          </w:p>
        </w:tc>
      </w:tr>
      <w:tr w:rsidR="00452F5A" w:rsidRPr="002B588D" w14:paraId="2E385064" w14:textId="77777777" w:rsidTr="00ED42E0">
        <w:trPr>
          <w:trHeight w:val="300"/>
        </w:trPr>
        <w:tc>
          <w:tcPr>
            <w:tcW w:w="4960" w:type="dxa"/>
            <w:tcBorders>
              <w:top w:val="nil"/>
              <w:left w:val="nil"/>
              <w:bottom w:val="nil"/>
              <w:right w:val="nil"/>
            </w:tcBorders>
          </w:tcPr>
          <w:p w14:paraId="68140469"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about whereabouts by in-laws</w:t>
            </w:r>
          </w:p>
        </w:tc>
        <w:tc>
          <w:tcPr>
            <w:tcW w:w="1720" w:type="dxa"/>
            <w:tcBorders>
              <w:top w:val="nil"/>
              <w:left w:val="nil"/>
              <w:bottom w:val="nil"/>
              <w:right w:val="nil"/>
            </w:tcBorders>
          </w:tcPr>
          <w:p w14:paraId="62FA0FAD"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0.91</w:t>
            </w:r>
          </w:p>
        </w:tc>
      </w:tr>
      <w:tr w:rsidR="00452F5A" w:rsidRPr="002B588D" w14:paraId="5DBAC979" w14:textId="77777777" w:rsidTr="00ED42E0">
        <w:trPr>
          <w:trHeight w:val="300"/>
        </w:trPr>
        <w:tc>
          <w:tcPr>
            <w:tcW w:w="4960" w:type="dxa"/>
            <w:tcBorders>
              <w:top w:val="nil"/>
              <w:left w:val="nil"/>
              <w:bottom w:val="nil"/>
              <w:right w:val="nil"/>
            </w:tcBorders>
          </w:tcPr>
          <w:p w14:paraId="4170DF6D"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Interference over financial matters by in-laws</w:t>
            </w:r>
          </w:p>
        </w:tc>
        <w:tc>
          <w:tcPr>
            <w:tcW w:w="1720" w:type="dxa"/>
            <w:tcBorders>
              <w:top w:val="nil"/>
              <w:left w:val="nil"/>
              <w:bottom w:val="nil"/>
              <w:right w:val="nil"/>
            </w:tcBorders>
          </w:tcPr>
          <w:p w14:paraId="22381CEF"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0.93</w:t>
            </w:r>
          </w:p>
        </w:tc>
      </w:tr>
      <w:tr w:rsidR="00452F5A" w:rsidRPr="002B588D" w14:paraId="442F193C" w14:textId="77777777" w:rsidTr="00ED42E0">
        <w:trPr>
          <w:trHeight w:val="300"/>
        </w:trPr>
        <w:tc>
          <w:tcPr>
            <w:tcW w:w="4960" w:type="dxa"/>
            <w:tcBorders>
              <w:top w:val="nil"/>
              <w:left w:val="nil"/>
              <w:bottom w:val="nil"/>
              <w:right w:val="nil"/>
            </w:tcBorders>
          </w:tcPr>
          <w:p w14:paraId="61D02030"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Demeaning tone used by in-laws</w:t>
            </w:r>
          </w:p>
        </w:tc>
        <w:tc>
          <w:tcPr>
            <w:tcW w:w="1720" w:type="dxa"/>
            <w:tcBorders>
              <w:top w:val="nil"/>
              <w:left w:val="nil"/>
              <w:bottom w:val="nil"/>
              <w:right w:val="nil"/>
            </w:tcBorders>
          </w:tcPr>
          <w:p w14:paraId="086FCD99"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0.94</w:t>
            </w:r>
          </w:p>
        </w:tc>
      </w:tr>
      <w:tr w:rsidR="00452F5A" w:rsidRPr="002B588D" w14:paraId="018A03AB" w14:textId="77777777" w:rsidTr="00ED42E0">
        <w:trPr>
          <w:trHeight w:val="300"/>
        </w:trPr>
        <w:tc>
          <w:tcPr>
            <w:tcW w:w="4960" w:type="dxa"/>
            <w:tcBorders>
              <w:top w:val="nil"/>
              <w:left w:val="nil"/>
              <w:bottom w:val="single" w:sz="6" w:space="0" w:color="auto"/>
              <w:right w:val="nil"/>
            </w:tcBorders>
          </w:tcPr>
          <w:p w14:paraId="5DE7E48B" w14:textId="77777777" w:rsidR="00452F5A" w:rsidRPr="002B588D" w:rsidRDefault="00452F5A" w:rsidP="00ED42E0">
            <w:pPr>
              <w:autoSpaceDE w:val="0"/>
              <w:autoSpaceDN w:val="0"/>
              <w:adjustRightInd w:val="0"/>
              <w:rPr>
                <w:color w:val="000000"/>
                <w:sz w:val="22"/>
                <w:szCs w:val="22"/>
              </w:rPr>
            </w:pPr>
            <w:r w:rsidRPr="002B588D">
              <w:rPr>
                <w:color w:val="000000"/>
                <w:sz w:val="22"/>
                <w:szCs w:val="22"/>
              </w:rPr>
              <w:t>Physical harm by in-laws</w:t>
            </w:r>
          </w:p>
        </w:tc>
        <w:tc>
          <w:tcPr>
            <w:tcW w:w="1720" w:type="dxa"/>
            <w:tcBorders>
              <w:top w:val="nil"/>
              <w:left w:val="nil"/>
              <w:bottom w:val="single" w:sz="6" w:space="0" w:color="auto"/>
              <w:right w:val="nil"/>
            </w:tcBorders>
          </w:tcPr>
          <w:p w14:paraId="243788DB" w14:textId="77777777" w:rsidR="00452F5A" w:rsidRPr="002B588D" w:rsidRDefault="00452F5A" w:rsidP="00ED42E0">
            <w:pPr>
              <w:autoSpaceDE w:val="0"/>
              <w:autoSpaceDN w:val="0"/>
              <w:adjustRightInd w:val="0"/>
              <w:jc w:val="right"/>
              <w:rPr>
                <w:color w:val="000000"/>
                <w:sz w:val="22"/>
                <w:szCs w:val="22"/>
              </w:rPr>
            </w:pPr>
            <w:r w:rsidRPr="002B588D">
              <w:rPr>
                <w:color w:val="000000"/>
                <w:sz w:val="22"/>
                <w:szCs w:val="22"/>
              </w:rPr>
              <w:t>0.81</w:t>
            </w:r>
          </w:p>
        </w:tc>
      </w:tr>
    </w:tbl>
    <w:p w14:paraId="108F5604" w14:textId="5C88E3CB" w:rsidR="00924C91" w:rsidRDefault="00924C91" w:rsidP="00C67228">
      <w:pPr>
        <w:jc w:val="center"/>
        <w:rPr>
          <w:rFonts w:ascii="TimesNewRomanPSMT" w:eastAsia="TimesNewRomanPSMT" w:hAnsi="TimesNewRomanPSMT" w:cs="TimesNewRomanPSMT"/>
        </w:rPr>
      </w:pPr>
    </w:p>
    <w:p w14:paraId="68CB4328" w14:textId="77777777" w:rsidR="00064B67" w:rsidRDefault="00064B67" w:rsidP="00C67228">
      <w:pPr>
        <w:jc w:val="center"/>
        <w:rPr>
          <w:rFonts w:ascii="TimesNewRomanPSMT" w:eastAsia="TimesNewRomanPSMT" w:hAnsi="TimesNewRomanPSMT" w:cs="TimesNewRomanPSMT"/>
        </w:rPr>
      </w:pPr>
    </w:p>
    <w:p w14:paraId="12E9B77D" w14:textId="77777777" w:rsidR="00064B67" w:rsidRDefault="00064B67" w:rsidP="00C67228">
      <w:pPr>
        <w:jc w:val="center"/>
        <w:rPr>
          <w:rFonts w:ascii="TimesNewRomanPSMT" w:eastAsia="TimesNewRomanPSMT" w:hAnsi="TimesNewRomanPSMT" w:cs="TimesNewRomanPSMT"/>
        </w:rPr>
      </w:pPr>
    </w:p>
    <w:p w14:paraId="0E24DFAB" w14:textId="77777777" w:rsidR="00064B67" w:rsidRDefault="00064B67" w:rsidP="00C67228">
      <w:pPr>
        <w:jc w:val="center"/>
        <w:rPr>
          <w:rFonts w:ascii="TimesNewRomanPSMT" w:eastAsia="TimesNewRomanPSMT" w:hAnsi="TimesNewRomanPSMT" w:cs="TimesNewRomanPSMT"/>
        </w:rPr>
      </w:pPr>
    </w:p>
    <w:p w14:paraId="5B852DF0" w14:textId="77777777" w:rsidR="00064B67" w:rsidRDefault="00064B67" w:rsidP="00C67228">
      <w:pPr>
        <w:jc w:val="center"/>
        <w:rPr>
          <w:rFonts w:ascii="TimesNewRomanPSMT" w:eastAsia="TimesNewRomanPSMT" w:hAnsi="TimesNewRomanPSMT" w:cs="TimesNewRomanPSMT"/>
        </w:rPr>
      </w:pPr>
    </w:p>
    <w:p w14:paraId="7D36C8D1" w14:textId="77777777" w:rsidR="00D8606F" w:rsidRDefault="00D8606F" w:rsidP="00C67228">
      <w:pPr>
        <w:jc w:val="center"/>
        <w:rPr>
          <w:rFonts w:ascii="TimesNewRomanPSMT" w:eastAsia="TimesNewRomanPSMT" w:hAnsi="TimesNewRomanPSMT" w:cs="TimesNewRomanPSMT"/>
        </w:rPr>
      </w:pPr>
    </w:p>
    <w:p w14:paraId="0517375D" w14:textId="77777777" w:rsidR="00D8606F" w:rsidRDefault="00D8606F" w:rsidP="00C67228">
      <w:pPr>
        <w:jc w:val="center"/>
        <w:rPr>
          <w:rFonts w:ascii="TimesNewRomanPSMT" w:eastAsia="TimesNewRomanPSMT" w:hAnsi="TimesNewRomanPSMT" w:cs="TimesNewRomanPSMT"/>
        </w:rPr>
      </w:pPr>
    </w:p>
    <w:p w14:paraId="145DDB6B" w14:textId="77777777" w:rsidR="00D8606F" w:rsidRDefault="00D8606F" w:rsidP="00C67228">
      <w:pPr>
        <w:jc w:val="center"/>
        <w:rPr>
          <w:rFonts w:ascii="TimesNewRomanPSMT" w:eastAsia="TimesNewRomanPSMT" w:hAnsi="TimesNewRomanPSMT" w:cs="TimesNewRomanPSMT"/>
        </w:rPr>
      </w:pPr>
    </w:p>
    <w:p w14:paraId="68C0A53F" w14:textId="77777777" w:rsidR="00D8606F" w:rsidRDefault="00D8606F" w:rsidP="00C67228">
      <w:pPr>
        <w:jc w:val="center"/>
        <w:rPr>
          <w:rFonts w:ascii="TimesNewRomanPSMT" w:eastAsia="TimesNewRomanPSMT" w:hAnsi="TimesNewRomanPSMT" w:cs="TimesNewRomanPSMT"/>
        </w:rPr>
      </w:pPr>
    </w:p>
    <w:p w14:paraId="5ACAE121" w14:textId="77777777" w:rsidR="00D8606F" w:rsidRDefault="00D8606F" w:rsidP="00C67228">
      <w:pPr>
        <w:jc w:val="center"/>
        <w:rPr>
          <w:rFonts w:ascii="TimesNewRomanPSMT" w:eastAsia="TimesNewRomanPSMT" w:hAnsi="TimesNewRomanPSMT" w:cs="TimesNewRomanPSMT"/>
        </w:rPr>
      </w:pPr>
    </w:p>
    <w:p w14:paraId="086E9930" w14:textId="77777777" w:rsidR="00D8606F" w:rsidRDefault="00D8606F" w:rsidP="00C67228">
      <w:pPr>
        <w:jc w:val="center"/>
        <w:rPr>
          <w:rFonts w:ascii="TimesNewRomanPSMT" w:eastAsia="TimesNewRomanPSMT" w:hAnsi="TimesNewRomanPSMT" w:cs="TimesNewRomanPSMT"/>
        </w:rPr>
      </w:pPr>
    </w:p>
    <w:p w14:paraId="511B628B" w14:textId="77777777" w:rsidR="00D8606F" w:rsidRDefault="00D8606F" w:rsidP="00C67228">
      <w:pPr>
        <w:jc w:val="center"/>
        <w:rPr>
          <w:rFonts w:ascii="TimesNewRomanPSMT" w:eastAsia="TimesNewRomanPSMT" w:hAnsi="TimesNewRomanPSMT" w:cs="TimesNewRomanPSMT"/>
        </w:rPr>
      </w:pPr>
    </w:p>
    <w:p w14:paraId="7A151C23" w14:textId="77777777" w:rsidR="00D8606F" w:rsidRDefault="00D8606F" w:rsidP="00C67228">
      <w:pPr>
        <w:jc w:val="center"/>
        <w:rPr>
          <w:rFonts w:ascii="TimesNewRomanPSMT" w:eastAsia="TimesNewRomanPSMT" w:hAnsi="TimesNewRomanPSMT" w:cs="TimesNewRomanPSMT"/>
        </w:rPr>
      </w:pPr>
    </w:p>
    <w:p w14:paraId="40E5F0C2" w14:textId="22A048C9" w:rsidR="00D33790" w:rsidRDefault="00452F5A" w:rsidP="00C67228">
      <w:pPr>
        <w:jc w:val="center"/>
        <w:rPr>
          <w:rFonts w:ascii="TimesNewRomanPSMT" w:eastAsia="TimesNewRomanPSMT" w:hAnsi="TimesNewRomanPSMT" w:cs="TimesNewRomanPSMT"/>
        </w:rPr>
      </w:pPr>
      <w:r>
        <w:rPr>
          <w:rFonts w:ascii="TimesNewRomanPSMT" w:eastAsia="TimesNewRomanPSMT" w:hAnsi="TimesNewRomanPSMT" w:cs="TimesNewRomanPSMT"/>
        </w:rPr>
        <w:t>Appendix A</w:t>
      </w:r>
    </w:p>
    <w:p w14:paraId="70E27D92" w14:textId="77777777" w:rsidR="00452F5A" w:rsidRDefault="00452F5A" w:rsidP="00452F5A">
      <w:pPr>
        <w:ind w:left="720"/>
        <w:jc w:val="center"/>
        <w:rPr>
          <w:rFonts w:ascii="TimesNewRomanPSMT" w:eastAsia="TimesNewRomanPSMT" w:hAnsi="TimesNewRomanPSMT" w:cs="TimesNewRomanPSMT"/>
        </w:rPr>
      </w:pPr>
    </w:p>
    <w:p w14:paraId="0DBB5D73" w14:textId="4BC23FBF" w:rsidR="00452F5A" w:rsidRDefault="00452F5A" w:rsidP="00452F5A">
      <w:r w:rsidRPr="002A3530">
        <w:rPr>
          <w:sz w:val="22"/>
          <w:szCs w:val="22"/>
        </w:rPr>
        <w:t xml:space="preserve">Figure 1.                                                                                    </w:t>
      </w:r>
      <w:r w:rsidRPr="000D2BD1">
        <w:t xml:space="preserve">Figure 2. </w:t>
      </w:r>
    </w:p>
    <w:p w14:paraId="7445896C" w14:textId="716771DE" w:rsidR="00452F5A" w:rsidRPr="00452F5A" w:rsidRDefault="00452F5A" w:rsidP="00452F5A">
      <w:r w:rsidRPr="000D2BD1">
        <w:t xml:space="preserve">Scree Plot for </w:t>
      </w:r>
      <w:r>
        <w:t>Overall</w:t>
      </w:r>
      <w:r w:rsidRPr="000D2BD1">
        <w:t xml:space="preserve"> Participants</w:t>
      </w:r>
      <w:r>
        <w:t xml:space="preserve">                                   </w:t>
      </w:r>
      <w:r w:rsidRPr="002A3530">
        <w:rPr>
          <w:sz w:val="22"/>
          <w:szCs w:val="22"/>
        </w:rPr>
        <w:t xml:space="preserve">Scree Plot for the </w:t>
      </w:r>
      <w:r>
        <w:rPr>
          <w:sz w:val="22"/>
          <w:szCs w:val="22"/>
        </w:rPr>
        <w:t>Male Participants</w:t>
      </w:r>
      <w:r w:rsidRPr="002A3530">
        <w:rPr>
          <w:sz w:val="22"/>
          <w:szCs w:val="22"/>
        </w:rPr>
        <w:t xml:space="preserve"> (N=468)                         </w:t>
      </w:r>
      <w:r>
        <w:rPr>
          <w:sz w:val="22"/>
          <w:szCs w:val="22"/>
        </w:rPr>
        <w:t xml:space="preserve">   </w:t>
      </w:r>
    </w:p>
    <w:p w14:paraId="2AB5F0B1" w14:textId="77777777" w:rsidR="00452F5A" w:rsidRDefault="00452F5A" w:rsidP="00452F5A"/>
    <w:p w14:paraId="76146297" w14:textId="20DF84E7" w:rsidR="00452F5A" w:rsidRPr="000D2BD1" w:rsidRDefault="00452F5A" w:rsidP="00452F5A"/>
    <w:p w14:paraId="3BF842F9" w14:textId="28885620" w:rsidR="00452F5A" w:rsidRPr="002A3530" w:rsidRDefault="00452F5A" w:rsidP="00452F5A">
      <w:pPr>
        <w:rPr>
          <w:sz w:val="22"/>
          <w:szCs w:val="22"/>
        </w:rPr>
      </w:pPr>
      <w:r>
        <w:rPr>
          <w:noProof/>
        </w:rPr>
        <w:drawing>
          <wp:inline distT="0" distB="0" distL="0" distR="0" wp14:anchorId="40518E66" wp14:editId="44562374">
            <wp:extent cx="2807521" cy="1651518"/>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76604" cy="1692156"/>
                    </a:xfrm>
                    <a:prstGeom prst="rect">
                      <a:avLst/>
                    </a:prstGeom>
                    <a:noFill/>
                    <a:ln>
                      <a:noFill/>
                    </a:ln>
                  </pic:spPr>
                </pic:pic>
              </a:graphicData>
            </a:graphic>
          </wp:inline>
        </w:drawing>
      </w:r>
      <w:r>
        <w:rPr>
          <w:noProof/>
        </w:rPr>
        <w:drawing>
          <wp:inline distT="0" distB="0" distL="0" distR="0" wp14:anchorId="115CC280" wp14:editId="58055744">
            <wp:extent cx="2901820" cy="1706989"/>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45208" cy="1732512"/>
                    </a:xfrm>
                    <a:prstGeom prst="rect">
                      <a:avLst/>
                    </a:prstGeom>
                    <a:noFill/>
                    <a:ln>
                      <a:noFill/>
                    </a:ln>
                  </pic:spPr>
                </pic:pic>
              </a:graphicData>
            </a:graphic>
          </wp:inline>
        </w:drawing>
      </w:r>
    </w:p>
    <w:p w14:paraId="6E091831" w14:textId="60C66145" w:rsidR="00452F5A" w:rsidRDefault="00452F5A" w:rsidP="00452F5A">
      <w:r>
        <w:t xml:space="preserve">                 </w:t>
      </w:r>
    </w:p>
    <w:p w14:paraId="6DF200F1" w14:textId="77777777" w:rsidR="00452F5A" w:rsidRPr="002A3530" w:rsidRDefault="00452F5A" w:rsidP="00452F5A">
      <w:pPr>
        <w:rPr>
          <w:sz w:val="22"/>
          <w:szCs w:val="22"/>
        </w:rPr>
      </w:pPr>
      <w:r w:rsidRPr="002A3530">
        <w:rPr>
          <w:sz w:val="22"/>
          <w:szCs w:val="22"/>
        </w:rPr>
        <w:t xml:space="preserve">Figure 3. </w:t>
      </w:r>
    </w:p>
    <w:p w14:paraId="781B022D" w14:textId="325F8B2A" w:rsidR="00452F5A" w:rsidRPr="002A3530" w:rsidRDefault="00452F5A" w:rsidP="00452F5A">
      <w:pPr>
        <w:rPr>
          <w:sz w:val="22"/>
          <w:szCs w:val="22"/>
        </w:rPr>
      </w:pPr>
      <w:r w:rsidRPr="002A3530">
        <w:rPr>
          <w:sz w:val="22"/>
          <w:szCs w:val="22"/>
        </w:rPr>
        <w:t xml:space="preserve">Scree Plot for </w:t>
      </w:r>
      <w:r>
        <w:rPr>
          <w:sz w:val="22"/>
          <w:szCs w:val="22"/>
        </w:rPr>
        <w:t>Female</w:t>
      </w:r>
      <w:r w:rsidRPr="002A3530">
        <w:rPr>
          <w:sz w:val="22"/>
          <w:szCs w:val="22"/>
        </w:rPr>
        <w:t xml:space="preserve"> Participants</w:t>
      </w:r>
    </w:p>
    <w:p w14:paraId="3F2F7674" w14:textId="166A88D3" w:rsidR="00452F5A" w:rsidRDefault="00452F5A" w:rsidP="00452F5A">
      <w:pPr>
        <w:rPr>
          <w:sz w:val="22"/>
          <w:szCs w:val="22"/>
        </w:rPr>
      </w:pPr>
    </w:p>
    <w:p w14:paraId="4C64B994" w14:textId="214E036B" w:rsidR="00D33790" w:rsidRPr="00203584" w:rsidRDefault="00452F5A" w:rsidP="00203584">
      <w:pPr>
        <w:rPr>
          <w:sz w:val="22"/>
          <w:szCs w:val="22"/>
        </w:rPr>
      </w:pPr>
      <w:r>
        <w:rPr>
          <w:noProof/>
        </w:rPr>
        <w:drawing>
          <wp:inline distT="0" distB="0" distL="0" distR="0" wp14:anchorId="6C897A72" wp14:editId="14646860">
            <wp:extent cx="2939143" cy="1728945"/>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6122" cy="1785993"/>
                    </a:xfrm>
                    <a:prstGeom prst="rect">
                      <a:avLst/>
                    </a:prstGeom>
                    <a:noFill/>
                    <a:ln>
                      <a:noFill/>
                    </a:ln>
                  </pic:spPr>
                </pic:pic>
              </a:graphicData>
            </a:graphic>
          </wp:inline>
        </w:drawing>
      </w:r>
    </w:p>
    <w:p w14:paraId="7C5E3EFE" w14:textId="1E5AD21D" w:rsidR="00D33790" w:rsidRDefault="00D33790" w:rsidP="00D33790">
      <w:pPr>
        <w:jc w:val="both"/>
      </w:pPr>
    </w:p>
    <w:p w14:paraId="3BEE6834" w14:textId="443370BE" w:rsidR="00D33790" w:rsidRDefault="00D33790" w:rsidP="00D33790">
      <w:pPr>
        <w:jc w:val="both"/>
      </w:pPr>
    </w:p>
    <w:p w14:paraId="09C04A3D" w14:textId="63C968D3" w:rsidR="00D33790" w:rsidRDefault="00D33790" w:rsidP="00D33790">
      <w:pPr>
        <w:ind w:left="720"/>
      </w:pPr>
    </w:p>
    <w:p w14:paraId="27938EBD" w14:textId="77777777" w:rsidR="0092578B" w:rsidRDefault="0092578B"/>
    <w:sectPr w:rsidR="0092578B" w:rsidSect="00F934E7">
      <w:headerReference w:type="even" r:id="rId59"/>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87F7" w14:textId="77777777" w:rsidR="00253874" w:rsidRDefault="00253874" w:rsidP="007E476E">
      <w:r>
        <w:separator/>
      </w:r>
    </w:p>
  </w:endnote>
  <w:endnote w:type="continuationSeparator" w:id="0">
    <w:p w14:paraId="5D7FBA65" w14:textId="77777777" w:rsidR="00253874" w:rsidRDefault="00253874" w:rsidP="007E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2590" w14:textId="77777777" w:rsidR="00253874" w:rsidRDefault="00253874" w:rsidP="007E476E">
      <w:r>
        <w:separator/>
      </w:r>
    </w:p>
  </w:footnote>
  <w:footnote w:type="continuationSeparator" w:id="0">
    <w:p w14:paraId="5B26264D" w14:textId="77777777" w:rsidR="00253874" w:rsidRDefault="00253874" w:rsidP="007E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752807"/>
      <w:docPartObj>
        <w:docPartGallery w:val="Page Numbers (Top of Page)"/>
        <w:docPartUnique/>
      </w:docPartObj>
    </w:sdtPr>
    <w:sdtEndPr>
      <w:rPr>
        <w:rStyle w:val="PageNumber"/>
      </w:rPr>
    </w:sdtEndPr>
    <w:sdtContent>
      <w:p w14:paraId="394AACF8" w14:textId="59EC1FAD" w:rsidR="00617F3B" w:rsidRDefault="00617F3B" w:rsidP="00617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A7B58" w14:textId="77777777" w:rsidR="00617F3B" w:rsidRDefault="00617F3B" w:rsidP="007E47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30507"/>
      <w:docPartObj>
        <w:docPartGallery w:val="Page Numbers (Top of Page)"/>
        <w:docPartUnique/>
      </w:docPartObj>
    </w:sdtPr>
    <w:sdtEndPr>
      <w:rPr>
        <w:rStyle w:val="PageNumber"/>
        <w:rFonts w:ascii="Times New Roman" w:hAnsi="Times New Roman" w:cs="Times New Roman"/>
      </w:rPr>
    </w:sdtEndPr>
    <w:sdtContent>
      <w:p w14:paraId="5FD2E5E8" w14:textId="48D86CD8" w:rsidR="00617F3B" w:rsidRDefault="00617F3B" w:rsidP="00617F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83DD6F" w14:textId="77777777" w:rsidR="00617F3B" w:rsidRDefault="00617F3B" w:rsidP="007E47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184"/>
    <w:multiLevelType w:val="hybridMultilevel"/>
    <w:tmpl w:val="865AA3A0"/>
    <w:lvl w:ilvl="0" w:tplc="9D5EB3AE">
      <w:start w:val="1"/>
      <w:numFmt w:val="decimal"/>
      <w:lvlText w:val="%1."/>
      <w:lvlJc w:val="left"/>
      <w:pPr>
        <w:ind w:left="360" w:hanging="360"/>
      </w:pPr>
      <w:rPr>
        <w:b w:val="0"/>
        <w:bCs w:val="0"/>
        <w:i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21353"/>
    <w:multiLevelType w:val="hybridMultilevel"/>
    <w:tmpl w:val="266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A4"/>
    <w:rsid w:val="00002AA9"/>
    <w:rsid w:val="00006D4E"/>
    <w:rsid w:val="00007B5B"/>
    <w:rsid w:val="00016CEB"/>
    <w:rsid w:val="000268B4"/>
    <w:rsid w:val="00036FAA"/>
    <w:rsid w:val="000419D5"/>
    <w:rsid w:val="00044D8F"/>
    <w:rsid w:val="00047F82"/>
    <w:rsid w:val="0005096F"/>
    <w:rsid w:val="0005497A"/>
    <w:rsid w:val="00054FD6"/>
    <w:rsid w:val="0006036C"/>
    <w:rsid w:val="00064B67"/>
    <w:rsid w:val="00066940"/>
    <w:rsid w:val="00066AD6"/>
    <w:rsid w:val="00067C1D"/>
    <w:rsid w:val="00067FDC"/>
    <w:rsid w:val="00072C4A"/>
    <w:rsid w:val="00075A42"/>
    <w:rsid w:val="00076E5B"/>
    <w:rsid w:val="0008029E"/>
    <w:rsid w:val="000815B4"/>
    <w:rsid w:val="00084BF4"/>
    <w:rsid w:val="00085978"/>
    <w:rsid w:val="00085B61"/>
    <w:rsid w:val="00090141"/>
    <w:rsid w:val="0009140B"/>
    <w:rsid w:val="00093696"/>
    <w:rsid w:val="000A349E"/>
    <w:rsid w:val="000A45E8"/>
    <w:rsid w:val="000B4017"/>
    <w:rsid w:val="000C5614"/>
    <w:rsid w:val="000C7261"/>
    <w:rsid w:val="000C779C"/>
    <w:rsid w:val="000C7998"/>
    <w:rsid w:val="000D08B6"/>
    <w:rsid w:val="000D6067"/>
    <w:rsid w:val="000D678D"/>
    <w:rsid w:val="000E0170"/>
    <w:rsid w:val="000E406C"/>
    <w:rsid w:val="000E6921"/>
    <w:rsid w:val="000F2251"/>
    <w:rsid w:val="000F37CF"/>
    <w:rsid w:val="000F4FD7"/>
    <w:rsid w:val="00101AD0"/>
    <w:rsid w:val="001051A4"/>
    <w:rsid w:val="0011563D"/>
    <w:rsid w:val="001209E6"/>
    <w:rsid w:val="00121043"/>
    <w:rsid w:val="00132B72"/>
    <w:rsid w:val="00133278"/>
    <w:rsid w:val="0014353A"/>
    <w:rsid w:val="00150B66"/>
    <w:rsid w:val="00151CF2"/>
    <w:rsid w:val="001522FA"/>
    <w:rsid w:val="001547C3"/>
    <w:rsid w:val="00165FAE"/>
    <w:rsid w:val="001713C8"/>
    <w:rsid w:val="00182414"/>
    <w:rsid w:val="00182678"/>
    <w:rsid w:val="00182811"/>
    <w:rsid w:val="0018481A"/>
    <w:rsid w:val="00195756"/>
    <w:rsid w:val="00196F2C"/>
    <w:rsid w:val="001A0708"/>
    <w:rsid w:val="001A38D1"/>
    <w:rsid w:val="001A414C"/>
    <w:rsid w:val="001A6936"/>
    <w:rsid w:val="001A71FC"/>
    <w:rsid w:val="001C3817"/>
    <w:rsid w:val="001C68C7"/>
    <w:rsid w:val="001D5180"/>
    <w:rsid w:val="001F6697"/>
    <w:rsid w:val="00201EB6"/>
    <w:rsid w:val="00203584"/>
    <w:rsid w:val="002132ED"/>
    <w:rsid w:val="002150DF"/>
    <w:rsid w:val="00215B8E"/>
    <w:rsid w:val="002206A1"/>
    <w:rsid w:val="00220E35"/>
    <w:rsid w:val="0023348E"/>
    <w:rsid w:val="002361F7"/>
    <w:rsid w:val="00237596"/>
    <w:rsid w:val="00241D79"/>
    <w:rsid w:val="00245346"/>
    <w:rsid w:val="002501BA"/>
    <w:rsid w:val="00253874"/>
    <w:rsid w:val="00254C3D"/>
    <w:rsid w:val="00255426"/>
    <w:rsid w:val="00260D17"/>
    <w:rsid w:val="00261116"/>
    <w:rsid w:val="0026365B"/>
    <w:rsid w:val="00267B23"/>
    <w:rsid w:val="002825D0"/>
    <w:rsid w:val="0028664E"/>
    <w:rsid w:val="00291F29"/>
    <w:rsid w:val="00293BED"/>
    <w:rsid w:val="00294173"/>
    <w:rsid w:val="002A0B1E"/>
    <w:rsid w:val="002A0C42"/>
    <w:rsid w:val="002A1421"/>
    <w:rsid w:val="002A15A1"/>
    <w:rsid w:val="002A203D"/>
    <w:rsid w:val="002A5F2D"/>
    <w:rsid w:val="002A6E67"/>
    <w:rsid w:val="002B239E"/>
    <w:rsid w:val="002C05FC"/>
    <w:rsid w:val="002C1844"/>
    <w:rsid w:val="002D52E1"/>
    <w:rsid w:val="002F4365"/>
    <w:rsid w:val="003020FD"/>
    <w:rsid w:val="00302540"/>
    <w:rsid w:val="003032E9"/>
    <w:rsid w:val="003052EC"/>
    <w:rsid w:val="0031678B"/>
    <w:rsid w:val="00327D41"/>
    <w:rsid w:val="003312BD"/>
    <w:rsid w:val="003331BF"/>
    <w:rsid w:val="00337A94"/>
    <w:rsid w:val="00351106"/>
    <w:rsid w:val="003546B6"/>
    <w:rsid w:val="00363E1A"/>
    <w:rsid w:val="00364626"/>
    <w:rsid w:val="00365C25"/>
    <w:rsid w:val="00366418"/>
    <w:rsid w:val="00366F1D"/>
    <w:rsid w:val="003677C3"/>
    <w:rsid w:val="0037051D"/>
    <w:rsid w:val="0037133D"/>
    <w:rsid w:val="00381421"/>
    <w:rsid w:val="003A227B"/>
    <w:rsid w:val="003A64EB"/>
    <w:rsid w:val="003B7446"/>
    <w:rsid w:val="003C2027"/>
    <w:rsid w:val="003C436F"/>
    <w:rsid w:val="003C7CA8"/>
    <w:rsid w:val="003D23D2"/>
    <w:rsid w:val="003D4DEE"/>
    <w:rsid w:val="003D6CDF"/>
    <w:rsid w:val="003E07F5"/>
    <w:rsid w:val="003E56A5"/>
    <w:rsid w:val="003F1D31"/>
    <w:rsid w:val="0040247F"/>
    <w:rsid w:val="00403185"/>
    <w:rsid w:val="004058A1"/>
    <w:rsid w:val="00405FEB"/>
    <w:rsid w:val="00406938"/>
    <w:rsid w:val="00407D45"/>
    <w:rsid w:val="00412593"/>
    <w:rsid w:val="00431884"/>
    <w:rsid w:val="00432B12"/>
    <w:rsid w:val="004350F8"/>
    <w:rsid w:val="00441DA6"/>
    <w:rsid w:val="004421A9"/>
    <w:rsid w:val="0044308C"/>
    <w:rsid w:val="00450278"/>
    <w:rsid w:val="004527D4"/>
    <w:rsid w:val="00452F12"/>
    <w:rsid w:val="00452F39"/>
    <w:rsid w:val="00452F5A"/>
    <w:rsid w:val="00454666"/>
    <w:rsid w:val="0046170F"/>
    <w:rsid w:val="00476CF7"/>
    <w:rsid w:val="00485900"/>
    <w:rsid w:val="00491164"/>
    <w:rsid w:val="00491A23"/>
    <w:rsid w:val="00491CB0"/>
    <w:rsid w:val="00495F17"/>
    <w:rsid w:val="00496158"/>
    <w:rsid w:val="004B0377"/>
    <w:rsid w:val="004B19E3"/>
    <w:rsid w:val="004B3D47"/>
    <w:rsid w:val="004B4C8B"/>
    <w:rsid w:val="004B521D"/>
    <w:rsid w:val="004C063B"/>
    <w:rsid w:val="004C0BBB"/>
    <w:rsid w:val="004C0CBC"/>
    <w:rsid w:val="004C2A95"/>
    <w:rsid w:val="004C2BBB"/>
    <w:rsid w:val="004C50EF"/>
    <w:rsid w:val="004C70A4"/>
    <w:rsid w:val="004F2A1C"/>
    <w:rsid w:val="004F4B82"/>
    <w:rsid w:val="004F7A6D"/>
    <w:rsid w:val="00504C73"/>
    <w:rsid w:val="00506A56"/>
    <w:rsid w:val="0051432B"/>
    <w:rsid w:val="00526F1E"/>
    <w:rsid w:val="00541D71"/>
    <w:rsid w:val="00542077"/>
    <w:rsid w:val="00542518"/>
    <w:rsid w:val="00543D6D"/>
    <w:rsid w:val="00546B90"/>
    <w:rsid w:val="00547501"/>
    <w:rsid w:val="005505D1"/>
    <w:rsid w:val="0055191A"/>
    <w:rsid w:val="00553AD5"/>
    <w:rsid w:val="00567A06"/>
    <w:rsid w:val="00570561"/>
    <w:rsid w:val="00575881"/>
    <w:rsid w:val="0057668B"/>
    <w:rsid w:val="00577694"/>
    <w:rsid w:val="00584E01"/>
    <w:rsid w:val="00585DC6"/>
    <w:rsid w:val="005A013A"/>
    <w:rsid w:val="005A4F56"/>
    <w:rsid w:val="005B070E"/>
    <w:rsid w:val="005B50AA"/>
    <w:rsid w:val="005B7ECC"/>
    <w:rsid w:val="005C13BD"/>
    <w:rsid w:val="005C1FD9"/>
    <w:rsid w:val="005D386C"/>
    <w:rsid w:val="005D5687"/>
    <w:rsid w:val="005D6BA3"/>
    <w:rsid w:val="005E7B94"/>
    <w:rsid w:val="005F78AF"/>
    <w:rsid w:val="005F7A54"/>
    <w:rsid w:val="00613C2D"/>
    <w:rsid w:val="00614A16"/>
    <w:rsid w:val="0061526E"/>
    <w:rsid w:val="00617A21"/>
    <w:rsid w:val="00617F3B"/>
    <w:rsid w:val="00621713"/>
    <w:rsid w:val="00623BF6"/>
    <w:rsid w:val="006259B7"/>
    <w:rsid w:val="0062792A"/>
    <w:rsid w:val="0063391F"/>
    <w:rsid w:val="0063418F"/>
    <w:rsid w:val="006408CC"/>
    <w:rsid w:val="00643537"/>
    <w:rsid w:val="006470AC"/>
    <w:rsid w:val="006607B9"/>
    <w:rsid w:val="00664410"/>
    <w:rsid w:val="00664B00"/>
    <w:rsid w:val="00664F81"/>
    <w:rsid w:val="00666AB9"/>
    <w:rsid w:val="0067517C"/>
    <w:rsid w:val="00687A32"/>
    <w:rsid w:val="0069303F"/>
    <w:rsid w:val="006A69F6"/>
    <w:rsid w:val="006B2933"/>
    <w:rsid w:val="006C140F"/>
    <w:rsid w:val="006C1895"/>
    <w:rsid w:val="006D0E05"/>
    <w:rsid w:val="006D229F"/>
    <w:rsid w:val="006D3078"/>
    <w:rsid w:val="006D3805"/>
    <w:rsid w:val="006D4F1D"/>
    <w:rsid w:val="006D7EBB"/>
    <w:rsid w:val="006E2A05"/>
    <w:rsid w:val="006E6623"/>
    <w:rsid w:val="006E7FE5"/>
    <w:rsid w:val="0070641F"/>
    <w:rsid w:val="00713689"/>
    <w:rsid w:val="00723FF2"/>
    <w:rsid w:val="00725927"/>
    <w:rsid w:val="00732C34"/>
    <w:rsid w:val="00732C4E"/>
    <w:rsid w:val="00734B2B"/>
    <w:rsid w:val="0074104F"/>
    <w:rsid w:val="00741DC1"/>
    <w:rsid w:val="00744379"/>
    <w:rsid w:val="007458A6"/>
    <w:rsid w:val="007536DD"/>
    <w:rsid w:val="00756874"/>
    <w:rsid w:val="007578B5"/>
    <w:rsid w:val="00761A2F"/>
    <w:rsid w:val="0076768E"/>
    <w:rsid w:val="00771201"/>
    <w:rsid w:val="00774346"/>
    <w:rsid w:val="0078020E"/>
    <w:rsid w:val="007837ED"/>
    <w:rsid w:val="00784179"/>
    <w:rsid w:val="00787C12"/>
    <w:rsid w:val="007942FB"/>
    <w:rsid w:val="0079451E"/>
    <w:rsid w:val="00794B2D"/>
    <w:rsid w:val="00795743"/>
    <w:rsid w:val="007A3BEB"/>
    <w:rsid w:val="007A538F"/>
    <w:rsid w:val="007A739F"/>
    <w:rsid w:val="007B03DE"/>
    <w:rsid w:val="007B041E"/>
    <w:rsid w:val="007B0B03"/>
    <w:rsid w:val="007B1130"/>
    <w:rsid w:val="007B1613"/>
    <w:rsid w:val="007B17C5"/>
    <w:rsid w:val="007B1AD1"/>
    <w:rsid w:val="007B54B3"/>
    <w:rsid w:val="007C1FDB"/>
    <w:rsid w:val="007C2330"/>
    <w:rsid w:val="007C50E1"/>
    <w:rsid w:val="007C5DC7"/>
    <w:rsid w:val="007C75C3"/>
    <w:rsid w:val="007D29DA"/>
    <w:rsid w:val="007D583F"/>
    <w:rsid w:val="007E1F6B"/>
    <w:rsid w:val="007E329B"/>
    <w:rsid w:val="007E476E"/>
    <w:rsid w:val="007E5BE3"/>
    <w:rsid w:val="007F00EE"/>
    <w:rsid w:val="00800517"/>
    <w:rsid w:val="00802004"/>
    <w:rsid w:val="0080469B"/>
    <w:rsid w:val="00823E9A"/>
    <w:rsid w:val="00827D0C"/>
    <w:rsid w:val="00827E67"/>
    <w:rsid w:val="00827F69"/>
    <w:rsid w:val="00840656"/>
    <w:rsid w:val="00845387"/>
    <w:rsid w:val="008661AE"/>
    <w:rsid w:val="00870B53"/>
    <w:rsid w:val="0087211F"/>
    <w:rsid w:val="0087440D"/>
    <w:rsid w:val="00874DD2"/>
    <w:rsid w:val="00875C14"/>
    <w:rsid w:val="00876CEA"/>
    <w:rsid w:val="00876F36"/>
    <w:rsid w:val="00881457"/>
    <w:rsid w:val="0088742E"/>
    <w:rsid w:val="0089603A"/>
    <w:rsid w:val="008966ED"/>
    <w:rsid w:val="008A0A05"/>
    <w:rsid w:val="008A2ABF"/>
    <w:rsid w:val="008A4872"/>
    <w:rsid w:val="008B77F0"/>
    <w:rsid w:val="008C0441"/>
    <w:rsid w:val="008C414C"/>
    <w:rsid w:val="008D1369"/>
    <w:rsid w:val="008D5AF3"/>
    <w:rsid w:val="008F5DA9"/>
    <w:rsid w:val="009024E6"/>
    <w:rsid w:val="0091335E"/>
    <w:rsid w:val="00916864"/>
    <w:rsid w:val="009244BA"/>
    <w:rsid w:val="00924C91"/>
    <w:rsid w:val="00924D0A"/>
    <w:rsid w:val="0092578B"/>
    <w:rsid w:val="00933DF7"/>
    <w:rsid w:val="009355A3"/>
    <w:rsid w:val="009465E7"/>
    <w:rsid w:val="009527BA"/>
    <w:rsid w:val="00952A52"/>
    <w:rsid w:val="00955869"/>
    <w:rsid w:val="00962394"/>
    <w:rsid w:val="00963CDF"/>
    <w:rsid w:val="00963EF6"/>
    <w:rsid w:val="00970DBE"/>
    <w:rsid w:val="00977C6A"/>
    <w:rsid w:val="009816A8"/>
    <w:rsid w:val="009867BB"/>
    <w:rsid w:val="009956CB"/>
    <w:rsid w:val="009A2078"/>
    <w:rsid w:val="009A501D"/>
    <w:rsid w:val="009A6817"/>
    <w:rsid w:val="009B1D61"/>
    <w:rsid w:val="009B2FFC"/>
    <w:rsid w:val="009C46B4"/>
    <w:rsid w:val="009D1E02"/>
    <w:rsid w:val="009D2BD7"/>
    <w:rsid w:val="009D73AE"/>
    <w:rsid w:val="009E2A9A"/>
    <w:rsid w:val="009E5572"/>
    <w:rsid w:val="009E64E3"/>
    <w:rsid w:val="009F076B"/>
    <w:rsid w:val="009F16EB"/>
    <w:rsid w:val="009F1F21"/>
    <w:rsid w:val="00A10463"/>
    <w:rsid w:val="00A13CA4"/>
    <w:rsid w:val="00A16350"/>
    <w:rsid w:val="00A241BB"/>
    <w:rsid w:val="00A27930"/>
    <w:rsid w:val="00A33446"/>
    <w:rsid w:val="00A33B5F"/>
    <w:rsid w:val="00A472D3"/>
    <w:rsid w:val="00A558A4"/>
    <w:rsid w:val="00A55AB4"/>
    <w:rsid w:val="00A63836"/>
    <w:rsid w:val="00A665E7"/>
    <w:rsid w:val="00A72A4B"/>
    <w:rsid w:val="00A72D50"/>
    <w:rsid w:val="00A74302"/>
    <w:rsid w:val="00A774EB"/>
    <w:rsid w:val="00A82B21"/>
    <w:rsid w:val="00A82BAB"/>
    <w:rsid w:val="00A84A0A"/>
    <w:rsid w:val="00A874AF"/>
    <w:rsid w:val="00A908A3"/>
    <w:rsid w:val="00AA1647"/>
    <w:rsid w:val="00AA18A3"/>
    <w:rsid w:val="00AA2417"/>
    <w:rsid w:val="00AA55DD"/>
    <w:rsid w:val="00AB1632"/>
    <w:rsid w:val="00AB2711"/>
    <w:rsid w:val="00AB4E1F"/>
    <w:rsid w:val="00AB6F2A"/>
    <w:rsid w:val="00AC33A9"/>
    <w:rsid w:val="00AD00A9"/>
    <w:rsid w:val="00AD1EC1"/>
    <w:rsid w:val="00AD6567"/>
    <w:rsid w:val="00AE2947"/>
    <w:rsid w:val="00AE3562"/>
    <w:rsid w:val="00AE6835"/>
    <w:rsid w:val="00AE74A6"/>
    <w:rsid w:val="00AE78A5"/>
    <w:rsid w:val="00AF308C"/>
    <w:rsid w:val="00AF35A8"/>
    <w:rsid w:val="00AF64C6"/>
    <w:rsid w:val="00AF68AA"/>
    <w:rsid w:val="00B10EA1"/>
    <w:rsid w:val="00B12A9E"/>
    <w:rsid w:val="00B145B8"/>
    <w:rsid w:val="00B14D30"/>
    <w:rsid w:val="00B165CC"/>
    <w:rsid w:val="00B16D4C"/>
    <w:rsid w:val="00B202C0"/>
    <w:rsid w:val="00B239CA"/>
    <w:rsid w:val="00B24C24"/>
    <w:rsid w:val="00B27370"/>
    <w:rsid w:val="00B30E6F"/>
    <w:rsid w:val="00B313AC"/>
    <w:rsid w:val="00B33826"/>
    <w:rsid w:val="00B361AC"/>
    <w:rsid w:val="00B41850"/>
    <w:rsid w:val="00B437C1"/>
    <w:rsid w:val="00B443C4"/>
    <w:rsid w:val="00B5287A"/>
    <w:rsid w:val="00B53CC5"/>
    <w:rsid w:val="00B751A1"/>
    <w:rsid w:val="00B75B59"/>
    <w:rsid w:val="00B76C17"/>
    <w:rsid w:val="00B808B0"/>
    <w:rsid w:val="00B81505"/>
    <w:rsid w:val="00B81B4C"/>
    <w:rsid w:val="00B82C13"/>
    <w:rsid w:val="00B85F5F"/>
    <w:rsid w:val="00B97A67"/>
    <w:rsid w:val="00BB0F20"/>
    <w:rsid w:val="00BB21C6"/>
    <w:rsid w:val="00BB7966"/>
    <w:rsid w:val="00BC44A4"/>
    <w:rsid w:val="00BD137F"/>
    <w:rsid w:val="00BD6B6E"/>
    <w:rsid w:val="00BE254A"/>
    <w:rsid w:val="00BE29B0"/>
    <w:rsid w:val="00BE4028"/>
    <w:rsid w:val="00BE5CC3"/>
    <w:rsid w:val="00BF2469"/>
    <w:rsid w:val="00C01302"/>
    <w:rsid w:val="00C02BAC"/>
    <w:rsid w:val="00C035E1"/>
    <w:rsid w:val="00C03A86"/>
    <w:rsid w:val="00C04A4E"/>
    <w:rsid w:val="00C076FF"/>
    <w:rsid w:val="00C10923"/>
    <w:rsid w:val="00C119E8"/>
    <w:rsid w:val="00C13214"/>
    <w:rsid w:val="00C168D7"/>
    <w:rsid w:val="00C1710A"/>
    <w:rsid w:val="00C21EC1"/>
    <w:rsid w:val="00C257EF"/>
    <w:rsid w:val="00C2751D"/>
    <w:rsid w:val="00C27C10"/>
    <w:rsid w:val="00C3125A"/>
    <w:rsid w:val="00C320AE"/>
    <w:rsid w:val="00C34013"/>
    <w:rsid w:val="00C34745"/>
    <w:rsid w:val="00C36C96"/>
    <w:rsid w:val="00C37218"/>
    <w:rsid w:val="00C37EF4"/>
    <w:rsid w:val="00C402FD"/>
    <w:rsid w:val="00C50C1B"/>
    <w:rsid w:val="00C519F3"/>
    <w:rsid w:val="00C53DC8"/>
    <w:rsid w:val="00C5563C"/>
    <w:rsid w:val="00C63736"/>
    <w:rsid w:val="00C67228"/>
    <w:rsid w:val="00C70C2E"/>
    <w:rsid w:val="00C73FDD"/>
    <w:rsid w:val="00C85961"/>
    <w:rsid w:val="00C94F35"/>
    <w:rsid w:val="00CA58F4"/>
    <w:rsid w:val="00CA64BF"/>
    <w:rsid w:val="00CB24C3"/>
    <w:rsid w:val="00CC2D59"/>
    <w:rsid w:val="00CC3F81"/>
    <w:rsid w:val="00CC57F1"/>
    <w:rsid w:val="00CD1F1F"/>
    <w:rsid w:val="00CE0339"/>
    <w:rsid w:val="00CE4AE8"/>
    <w:rsid w:val="00CE6534"/>
    <w:rsid w:val="00CF0934"/>
    <w:rsid w:val="00CF2941"/>
    <w:rsid w:val="00CF2989"/>
    <w:rsid w:val="00CF3540"/>
    <w:rsid w:val="00CF5E90"/>
    <w:rsid w:val="00CF6660"/>
    <w:rsid w:val="00D06EAF"/>
    <w:rsid w:val="00D13461"/>
    <w:rsid w:val="00D2014F"/>
    <w:rsid w:val="00D247A2"/>
    <w:rsid w:val="00D25F7F"/>
    <w:rsid w:val="00D26014"/>
    <w:rsid w:val="00D268EC"/>
    <w:rsid w:val="00D3287E"/>
    <w:rsid w:val="00D33790"/>
    <w:rsid w:val="00D41F36"/>
    <w:rsid w:val="00D43A4E"/>
    <w:rsid w:val="00D535BC"/>
    <w:rsid w:val="00D6010B"/>
    <w:rsid w:val="00D609BF"/>
    <w:rsid w:val="00D64D65"/>
    <w:rsid w:val="00D65EBE"/>
    <w:rsid w:val="00D6795C"/>
    <w:rsid w:val="00D71FFE"/>
    <w:rsid w:val="00D736F3"/>
    <w:rsid w:val="00D753B4"/>
    <w:rsid w:val="00D75AA1"/>
    <w:rsid w:val="00D81CDB"/>
    <w:rsid w:val="00D8606F"/>
    <w:rsid w:val="00D87073"/>
    <w:rsid w:val="00D94267"/>
    <w:rsid w:val="00D944F3"/>
    <w:rsid w:val="00D94A90"/>
    <w:rsid w:val="00D9541A"/>
    <w:rsid w:val="00D964DD"/>
    <w:rsid w:val="00DA06B7"/>
    <w:rsid w:val="00DA7E26"/>
    <w:rsid w:val="00DB0C5D"/>
    <w:rsid w:val="00DB4601"/>
    <w:rsid w:val="00DD4423"/>
    <w:rsid w:val="00DD46E1"/>
    <w:rsid w:val="00DE028A"/>
    <w:rsid w:val="00DE082A"/>
    <w:rsid w:val="00DE0E4E"/>
    <w:rsid w:val="00DE14BF"/>
    <w:rsid w:val="00DE4627"/>
    <w:rsid w:val="00DE4779"/>
    <w:rsid w:val="00DE5B11"/>
    <w:rsid w:val="00DF0D05"/>
    <w:rsid w:val="00DF629A"/>
    <w:rsid w:val="00E05D8D"/>
    <w:rsid w:val="00E107EC"/>
    <w:rsid w:val="00E128C3"/>
    <w:rsid w:val="00E133FD"/>
    <w:rsid w:val="00E16963"/>
    <w:rsid w:val="00E23B32"/>
    <w:rsid w:val="00E330B1"/>
    <w:rsid w:val="00E3432D"/>
    <w:rsid w:val="00E36457"/>
    <w:rsid w:val="00E406C6"/>
    <w:rsid w:val="00E408CA"/>
    <w:rsid w:val="00E42075"/>
    <w:rsid w:val="00E504A0"/>
    <w:rsid w:val="00E6499E"/>
    <w:rsid w:val="00E64B42"/>
    <w:rsid w:val="00E6613B"/>
    <w:rsid w:val="00E70F39"/>
    <w:rsid w:val="00E714FE"/>
    <w:rsid w:val="00E72E47"/>
    <w:rsid w:val="00E7337F"/>
    <w:rsid w:val="00E80009"/>
    <w:rsid w:val="00E8141B"/>
    <w:rsid w:val="00E81D0F"/>
    <w:rsid w:val="00E95040"/>
    <w:rsid w:val="00E979F3"/>
    <w:rsid w:val="00EA2154"/>
    <w:rsid w:val="00EA5623"/>
    <w:rsid w:val="00EA7E92"/>
    <w:rsid w:val="00EB2E14"/>
    <w:rsid w:val="00EB5719"/>
    <w:rsid w:val="00EC5934"/>
    <w:rsid w:val="00ED1382"/>
    <w:rsid w:val="00ED19A1"/>
    <w:rsid w:val="00ED4B83"/>
    <w:rsid w:val="00ED7F1B"/>
    <w:rsid w:val="00EE130E"/>
    <w:rsid w:val="00EE5082"/>
    <w:rsid w:val="00EE585B"/>
    <w:rsid w:val="00EE6032"/>
    <w:rsid w:val="00EE68C4"/>
    <w:rsid w:val="00EE7145"/>
    <w:rsid w:val="00EF0362"/>
    <w:rsid w:val="00EF2591"/>
    <w:rsid w:val="00EF6624"/>
    <w:rsid w:val="00F004D9"/>
    <w:rsid w:val="00F01411"/>
    <w:rsid w:val="00F12F08"/>
    <w:rsid w:val="00F2634E"/>
    <w:rsid w:val="00F27985"/>
    <w:rsid w:val="00F3158C"/>
    <w:rsid w:val="00F43D89"/>
    <w:rsid w:val="00F440E1"/>
    <w:rsid w:val="00F479AF"/>
    <w:rsid w:val="00F5105E"/>
    <w:rsid w:val="00F5660D"/>
    <w:rsid w:val="00F67C96"/>
    <w:rsid w:val="00F7094C"/>
    <w:rsid w:val="00F70E44"/>
    <w:rsid w:val="00F723D1"/>
    <w:rsid w:val="00F805D0"/>
    <w:rsid w:val="00F83AD1"/>
    <w:rsid w:val="00F8492D"/>
    <w:rsid w:val="00F8753B"/>
    <w:rsid w:val="00F92B7E"/>
    <w:rsid w:val="00F934E7"/>
    <w:rsid w:val="00F93AB5"/>
    <w:rsid w:val="00F9524F"/>
    <w:rsid w:val="00F96A33"/>
    <w:rsid w:val="00FA3193"/>
    <w:rsid w:val="00FA3580"/>
    <w:rsid w:val="00FA6180"/>
    <w:rsid w:val="00FA65E1"/>
    <w:rsid w:val="00FA7815"/>
    <w:rsid w:val="00FB23C5"/>
    <w:rsid w:val="00FB59B1"/>
    <w:rsid w:val="00FB5D91"/>
    <w:rsid w:val="00FD02A1"/>
    <w:rsid w:val="00FD1B77"/>
    <w:rsid w:val="00FD378C"/>
    <w:rsid w:val="00FD4F01"/>
    <w:rsid w:val="00FE5DCA"/>
    <w:rsid w:val="00FE7468"/>
    <w:rsid w:val="00FF1516"/>
    <w:rsid w:val="00FF57FB"/>
    <w:rsid w:val="00FF717D"/>
    <w:rsid w:val="0D1A1F1D"/>
    <w:rsid w:val="31ACC919"/>
    <w:rsid w:val="4E875203"/>
    <w:rsid w:val="60008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BB92"/>
  <w15:chartTrackingRefBased/>
  <w15:docId w15:val="{DD272308-E593-A04A-A7D8-7A1F35F4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6CB"/>
    <w:pPr>
      <w:spacing w:before="100" w:beforeAutospacing="1" w:after="100" w:afterAutospacing="1"/>
    </w:pPr>
  </w:style>
  <w:style w:type="paragraph" w:styleId="ListParagraph">
    <w:name w:val="List Paragraph"/>
    <w:basedOn w:val="Normal"/>
    <w:uiPriority w:val="63"/>
    <w:qFormat/>
    <w:rsid w:val="007F00EE"/>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C04A4E"/>
    <w:rPr>
      <w:sz w:val="16"/>
      <w:szCs w:val="16"/>
    </w:rPr>
  </w:style>
  <w:style w:type="paragraph" w:styleId="CommentText">
    <w:name w:val="annotation text"/>
    <w:basedOn w:val="Normal"/>
    <w:link w:val="CommentTextChar"/>
    <w:uiPriority w:val="99"/>
    <w:unhideWhenUsed/>
    <w:rsid w:val="00C04A4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04A4E"/>
    <w:rPr>
      <w:sz w:val="20"/>
      <w:szCs w:val="20"/>
    </w:rPr>
  </w:style>
  <w:style w:type="paragraph" w:styleId="CommentSubject">
    <w:name w:val="annotation subject"/>
    <w:basedOn w:val="CommentText"/>
    <w:next w:val="CommentText"/>
    <w:link w:val="CommentSubjectChar"/>
    <w:uiPriority w:val="99"/>
    <w:semiHidden/>
    <w:unhideWhenUsed/>
    <w:rsid w:val="00C04A4E"/>
    <w:rPr>
      <w:b/>
      <w:bCs/>
    </w:rPr>
  </w:style>
  <w:style w:type="character" w:customStyle="1" w:styleId="CommentSubjectChar">
    <w:name w:val="Comment Subject Char"/>
    <w:basedOn w:val="CommentTextChar"/>
    <w:link w:val="CommentSubject"/>
    <w:uiPriority w:val="99"/>
    <w:semiHidden/>
    <w:rsid w:val="00C04A4E"/>
    <w:rPr>
      <w:b/>
      <w:bCs/>
      <w:sz w:val="20"/>
      <w:szCs w:val="20"/>
    </w:rPr>
  </w:style>
  <w:style w:type="paragraph" w:styleId="Header">
    <w:name w:val="header"/>
    <w:basedOn w:val="Normal"/>
    <w:link w:val="HeaderChar"/>
    <w:uiPriority w:val="99"/>
    <w:unhideWhenUsed/>
    <w:rsid w:val="007E476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E476E"/>
  </w:style>
  <w:style w:type="character" w:styleId="PageNumber">
    <w:name w:val="page number"/>
    <w:basedOn w:val="DefaultParagraphFont"/>
    <w:uiPriority w:val="99"/>
    <w:semiHidden/>
    <w:unhideWhenUsed/>
    <w:rsid w:val="007E476E"/>
  </w:style>
  <w:style w:type="character" w:customStyle="1" w:styleId="hlite">
    <w:name w:val="hlite"/>
    <w:basedOn w:val="DefaultParagraphFont"/>
    <w:rsid w:val="006D4F1D"/>
  </w:style>
  <w:style w:type="character" w:styleId="Hyperlink">
    <w:name w:val="Hyperlink"/>
    <w:basedOn w:val="DefaultParagraphFont"/>
    <w:uiPriority w:val="99"/>
    <w:unhideWhenUsed/>
    <w:rsid w:val="006D4F1D"/>
    <w:rPr>
      <w:color w:val="0563C1" w:themeColor="hyperlink"/>
      <w:u w:val="single"/>
    </w:rPr>
  </w:style>
  <w:style w:type="character" w:styleId="UnresolvedMention">
    <w:name w:val="Unresolved Mention"/>
    <w:basedOn w:val="DefaultParagraphFont"/>
    <w:uiPriority w:val="99"/>
    <w:semiHidden/>
    <w:unhideWhenUsed/>
    <w:rsid w:val="006D4F1D"/>
    <w:rPr>
      <w:color w:val="605E5C"/>
      <w:shd w:val="clear" w:color="auto" w:fill="E1DFDD"/>
    </w:rPr>
  </w:style>
  <w:style w:type="paragraph" w:styleId="Revision">
    <w:name w:val="Revision"/>
    <w:hidden/>
    <w:uiPriority w:val="99"/>
    <w:semiHidden/>
    <w:rsid w:val="004C50EF"/>
  </w:style>
  <w:style w:type="paragraph" w:styleId="BalloonText">
    <w:name w:val="Balloon Text"/>
    <w:basedOn w:val="Normal"/>
    <w:link w:val="BalloonTextChar"/>
    <w:uiPriority w:val="99"/>
    <w:semiHidden/>
    <w:unhideWhenUsed/>
    <w:rsid w:val="00D2601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26014"/>
    <w:rPr>
      <w:rFonts w:ascii="Segoe UI" w:hAnsi="Segoe UI" w:cs="Segoe UI"/>
      <w:sz w:val="18"/>
      <w:szCs w:val="18"/>
    </w:rPr>
  </w:style>
  <w:style w:type="character" w:styleId="FollowedHyperlink">
    <w:name w:val="FollowedHyperlink"/>
    <w:basedOn w:val="DefaultParagraphFont"/>
    <w:uiPriority w:val="99"/>
    <w:semiHidden/>
    <w:unhideWhenUsed/>
    <w:rsid w:val="000B4017"/>
    <w:rPr>
      <w:color w:val="954F72" w:themeColor="followedHyperlink"/>
      <w:u w:val="single"/>
    </w:rPr>
  </w:style>
  <w:style w:type="paragraph" w:styleId="Footer">
    <w:name w:val="footer"/>
    <w:basedOn w:val="Normal"/>
    <w:link w:val="FooterChar"/>
    <w:uiPriority w:val="99"/>
    <w:unhideWhenUsed/>
    <w:rsid w:val="00E8141B"/>
    <w:pPr>
      <w:tabs>
        <w:tab w:val="center" w:pos="4680"/>
        <w:tab w:val="right" w:pos="9360"/>
      </w:tabs>
    </w:pPr>
  </w:style>
  <w:style w:type="character" w:customStyle="1" w:styleId="FooterChar">
    <w:name w:val="Footer Char"/>
    <w:basedOn w:val="DefaultParagraphFont"/>
    <w:link w:val="Footer"/>
    <w:uiPriority w:val="99"/>
    <w:rsid w:val="00E8141B"/>
    <w:rPr>
      <w:rFonts w:ascii="Times New Roman" w:eastAsia="Times New Roman" w:hAnsi="Times New Roman" w:cs="Times New Roman"/>
    </w:rPr>
  </w:style>
  <w:style w:type="character" w:customStyle="1" w:styleId="Date1">
    <w:name w:val="Date1"/>
    <w:basedOn w:val="DefaultParagraphFont"/>
    <w:rsid w:val="00AE2947"/>
  </w:style>
  <w:style w:type="character" w:customStyle="1" w:styleId="arttitle">
    <w:name w:val="art_title"/>
    <w:basedOn w:val="DefaultParagraphFont"/>
    <w:rsid w:val="00AE2947"/>
  </w:style>
  <w:style w:type="character" w:customStyle="1" w:styleId="serialtitle">
    <w:name w:val="serial_title"/>
    <w:basedOn w:val="DefaultParagraphFont"/>
    <w:rsid w:val="00AE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227">
      <w:bodyDiv w:val="1"/>
      <w:marLeft w:val="0"/>
      <w:marRight w:val="0"/>
      <w:marTop w:val="0"/>
      <w:marBottom w:val="0"/>
      <w:divBdr>
        <w:top w:val="none" w:sz="0" w:space="0" w:color="auto"/>
        <w:left w:val="none" w:sz="0" w:space="0" w:color="auto"/>
        <w:bottom w:val="none" w:sz="0" w:space="0" w:color="auto"/>
        <w:right w:val="none" w:sz="0" w:space="0" w:color="auto"/>
      </w:divBdr>
      <w:divsChild>
        <w:div w:id="1198851309">
          <w:marLeft w:val="480"/>
          <w:marRight w:val="480"/>
          <w:marTop w:val="0"/>
          <w:marBottom w:val="0"/>
          <w:divBdr>
            <w:top w:val="none" w:sz="0" w:space="0" w:color="auto"/>
            <w:left w:val="none" w:sz="0" w:space="0" w:color="auto"/>
            <w:bottom w:val="none" w:sz="0" w:space="0" w:color="auto"/>
            <w:right w:val="none" w:sz="0" w:space="0" w:color="auto"/>
          </w:divBdr>
          <w:divsChild>
            <w:div w:id="956058601">
              <w:marLeft w:val="0"/>
              <w:marRight w:val="0"/>
              <w:marTop w:val="0"/>
              <w:marBottom w:val="0"/>
              <w:divBdr>
                <w:top w:val="none" w:sz="0" w:space="0" w:color="auto"/>
                <w:left w:val="none" w:sz="0" w:space="0" w:color="auto"/>
                <w:bottom w:val="none" w:sz="0" w:space="0" w:color="auto"/>
                <w:right w:val="none" w:sz="0" w:space="0" w:color="auto"/>
              </w:divBdr>
              <w:divsChild>
                <w:div w:id="9649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4253">
      <w:bodyDiv w:val="1"/>
      <w:marLeft w:val="0"/>
      <w:marRight w:val="0"/>
      <w:marTop w:val="0"/>
      <w:marBottom w:val="0"/>
      <w:divBdr>
        <w:top w:val="none" w:sz="0" w:space="0" w:color="auto"/>
        <w:left w:val="none" w:sz="0" w:space="0" w:color="auto"/>
        <w:bottom w:val="none" w:sz="0" w:space="0" w:color="auto"/>
        <w:right w:val="none" w:sz="0" w:space="0" w:color="auto"/>
      </w:divBdr>
    </w:div>
    <w:div w:id="209653566">
      <w:bodyDiv w:val="1"/>
      <w:marLeft w:val="0"/>
      <w:marRight w:val="0"/>
      <w:marTop w:val="0"/>
      <w:marBottom w:val="0"/>
      <w:divBdr>
        <w:top w:val="none" w:sz="0" w:space="0" w:color="auto"/>
        <w:left w:val="none" w:sz="0" w:space="0" w:color="auto"/>
        <w:bottom w:val="none" w:sz="0" w:space="0" w:color="auto"/>
        <w:right w:val="none" w:sz="0" w:space="0" w:color="auto"/>
      </w:divBdr>
    </w:div>
    <w:div w:id="232590254">
      <w:bodyDiv w:val="1"/>
      <w:marLeft w:val="0"/>
      <w:marRight w:val="0"/>
      <w:marTop w:val="0"/>
      <w:marBottom w:val="0"/>
      <w:divBdr>
        <w:top w:val="none" w:sz="0" w:space="0" w:color="auto"/>
        <w:left w:val="none" w:sz="0" w:space="0" w:color="auto"/>
        <w:bottom w:val="none" w:sz="0" w:space="0" w:color="auto"/>
        <w:right w:val="none" w:sz="0" w:space="0" w:color="auto"/>
      </w:divBdr>
    </w:div>
    <w:div w:id="386538374">
      <w:bodyDiv w:val="1"/>
      <w:marLeft w:val="0"/>
      <w:marRight w:val="0"/>
      <w:marTop w:val="0"/>
      <w:marBottom w:val="0"/>
      <w:divBdr>
        <w:top w:val="none" w:sz="0" w:space="0" w:color="auto"/>
        <w:left w:val="none" w:sz="0" w:space="0" w:color="auto"/>
        <w:bottom w:val="none" w:sz="0" w:space="0" w:color="auto"/>
        <w:right w:val="none" w:sz="0" w:space="0" w:color="auto"/>
      </w:divBdr>
    </w:div>
    <w:div w:id="432631943">
      <w:bodyDiv w:val="1"/>
      <w:marLeft w:val="0"/>
      <w:marRight w:val="0"/>
      <w:marTop w:val="0"/>
      <w:marBottom w:val="0"/>
      <w:divBdr>
        <w:top w:val="none" w:sz="0" w:space="0" w:color="auto"/>
        <w:left w:val="none" w:sz="0" w:space="0" w:color="auto"/>
        <w:bottom w:val="none" w:sz="0" w:space="0" w:color="auto"/>
        <w:right w:val="none" w:sz="0" w:space="0" w:color="auto"/>
      </w:divBdr>
    </w:div>
    <w:div w:id="666245171">
      <w:bodyDiv w:val="1"/>
      <w:marLeft w:val="0"/>
      <w:marRight w:val="0"/>
      <w:marTop w:val="0"/>
      <w:marBottom w:val="0"/>
      <w:divBdr>
        <w:top w:val="none" w:sz="0" w:space="0" w:color="auto"/>
        <w:left w:val="none" w:sz="0" w:space="0" w:color="auto"/>
        <w:bottom w:val="none" w:sz="0" w:space="0" w:color="auto"/>
        <w:right w:val="none" w:sz="0" w:space="0" w:color="auto"/>
      </w:divBdr>
      <w:divsChild>
        <w:div w:id="1561593651">
          <w:marLeft w:val="0"/>
          <w:marRight w:val="0"/>
          <w:marTop w:val="0"/>
          <w:marBottom w:val="0"/>
          <w:divBdr>
            <w:top w:val="none" w:sz="0" w:space="0" w:color="auto"/>
            <w:left w:val="none" w:sz="0" w:space="0" w:color="auto"/>
            <w:bottom w:val="none" w:sz="0" w:space="0" w:color="auto"/>
            <w:right w:val="none" w:sz="0" w:space="0" w:color="auto"/>
          </w:divBdr>
          <w:divsChild>
            <w:div w:id="1046418119">
              <w:marLeft w:val="0"/>
              <w:marRight w:val="0"/>
              <w:marTop w:val="0"/>
              <w:marBottom w:val="0"/>
              <w:divBdr>
                <w:top w:val="none" w:sz="0" w:space="0" w:color="auto"/>
                <w:left w:val="none" w:sz="0" w:space="0" w:color="auto"/>
                <w:bottom w:val="none" w:sz="0" w:space="0" w:color="auto"/>
                <w:right w:val="none" w:sz="0" w:space="0" w:color="auto"/>
              </w:divBdr>
              <w:divsChild>
                <w:div w:id="14901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1300">
      <w:bodyDiv w:val="1"/>
      <w:marLeft w:val="0"/>
      <w:marRight w:val="0"/>
      <w:marTop w:val="0"/>
      <w:marBottom w:val="0"/>
      <w:divBdr>
        <w:top w:val="none" w:sz="0" w:space="0" w:color="auto"/>
        <w:left w:val="none" w:sz="0" w:space="0" w:color="auto"/>
        <w:bottom w:val="none" w:sz="0" w:space="0" w:color="auto"/>
        <w:right w:val="none" w:sz="0" w:space="0" w:color="auto"/>
      </w:divBdr>
    </w:div>
    <w:div w:id="839275228">
      <w:bodyDiv w:val="1"/>
      <w:marLeft w:val="0"/>
      <w:marRight w:val="0"/>
      <w:marTop w:val="0"/>
      <w:marBottom w:val="0"/>
      <w:divBdr>
        <w:top w:val="none" w:sz="0" w:space="0" w:color="auto"/>
        <w:left w:val="none" w:sz="0" w:space="0" w:color="auto"/>
        <w:bottom w:val="none" w:sz="0" w:space="0" w:color="auto"/>
        <w:right w:val="none" w:sz="0" w:space="0" w:color="auto"/>
      </w:divBdr>
      <w:divsChild>
        <w:div w:id="1798404306">
          <w:marLeft w:val="0"/>
          <w:marRight w:val="0"/>
          <w:marTop w:val="0"/>
          <w:marBottom w:val="0"/>
          <w:divBdr>
            <w:top w:val="none" w:sz="0" w:space="0" w:color="auto"/>
            <w:left w:val="none" w:sz="0" w:space="0" w:color="auto"/>
            <w:bottom w:val="none" w:sz="0" w:space="0" w:color="auto"/>
            <w:right w:val="none" w:sz="0" w:space="0" w:color="auto"/>
          </w:divBdr>
          <w:divsChild>
            <w:div w:id="1165054911">
              <w:marLeft w:val="0"/>
              <w:marRight w:val="0"/>
              <w:marTop w:val="0"/>
              <w:marBottom w:val="0"/>
              <w:divBdr>
                <w:top w:val="none" w:sz="0" w:space="0" w:color="auto"/>
                <w:left w:val="none" w:sz="0" w:space="0" w:color="auto"/>
                <w:bottom w:val="none" w:sz="0" w:space="0" w:color="auto"/>
                <w:right w:val="none" w:sz="0" w:space="0" w:color="auto"/>
              </w:divBdr>
              <w:divsChild>
                <w:div w:id="5403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5484">
      <w:bodyDiv w:val="1"/>
      <w:marLeft w:val="0"/>
      <w:marRight w:val="0"/>
      <w:marTop w:val="0"/>
      <w:marBottom w:val="0"/>
      <w:divBdr>
        <w:top w:val="none" w:sz="0" w:space="0" w:color="auto"/>
        <w:left w:val="none" w:sz="0" w:space="0" w:color="auto"/>
        <w:bottom w:val="none" w:sz="0" w:space="0" w:color="auto"/>
        <w:right w:val="none" w:sz="0" w:space="0" w:color="auto"/>
      </w:divBdr>
      <w:divsChild>
        <w:div w:id="600646026">
          <w:marLeft w:val="0"/>
          <w:marRight w:val="0"/>
          <w:marTop w:val="0"/>
          <w:marBottom w:val="0"/>
          <w:divBdr>
            <w:top w:val="none" w:sz="0" w:space="0" w:color="auto"/>
            <w:left w:val="none" w:sz="0" w:space="0" w:color="auto"/>
            <w:bottom w:val="none" w:sz="0" w:space="0" w:color="auto"/>
            <w:right w:val="none" w:sz="0" w:space="0" w:color="auto"/>
          </w:divBdr>
          <w:divsChild>
            <w:div w:id="1831292264">
              <w:marLeft w:val="0"/>
              <w:marRight w:val="0"/>
              <w:marTop w:val="0"/>
              <w:marBottom w:val="0"/>
              <w:divBdr>
                <w:top w:val="none" w:sz="0" w:space="0" w:color="auto"/>
                <w:left w:val="none" w:sz="0" w:space="0" w:color="auto"/>
                <w:bottom w:val="none" w:sz="0" w:space="0" w:color="auto"/>
                <w:right w:val="none" w:sz="0" w:space="0" w:color="auto"/>
              </w:divBdr>
              <w:divsChild>
                <w:div w:id="19331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1093">
      <w:bodyDiv w:val="1"/>
      <w:marLeft w:val="0"/>
      <w:marRight w:val="0"/>
      <w:marTop w:val="0"/>
      <w:marBottom w:val="0"/>
      <w:divBdr>
        <w:top w:val="none" w:sz="0" w:space="0" w:color="auto"/>
        <w:left w:val="none" w:sz="0" w:space="0" w:color="auto"/>
        <w:bottom w:val="none" w:sz="0" w:space="0" w:color="auto"/>
        <w:right w:val="none" w:sz="0" w:space="0" w:color="auto"/>
      </w:divBdr>
      <w:divsChild>
        <w:div w:id="1386173374">
          <w:marLeft w:val="0"/>
          <w:marRight w:val="0"/>
          <w:marTop w:val="0"/>
          <w:marBottom w:val="0"/>
          <w:divBdr>
            <w:top w:val="none" w:sz="0" w:space="0" w:color="auto"/>
            <w:left w:val="none" w:sz="0" w:space="0" w:color="auto"/>
            <w:bottom w:val="none" w:sz="0" w:space="0" w:color="auto"/>
            <w:right w:val="none" w:sz="0" w:space="0" w:color="auto"/>
          </w:divBdr>
          <w:divsChild>
            <w:div w:id="1275209159">
              <w:marLeft w:val="0"/>
              <w:marRight w:val="0"/>
              <w:marTop w:val="0"/>
              <w:marBottom w:val="0"/>
              <w:divBdr>
                <w:top w:val="none" w:sz="0" w:space="0" w:color="auto"/>
                <w:left w:val="none" w:sz="0" w:space="0" w:color="auto"/>
                <w:bottom w:val="none" w:sz="0" w:space="0" w:color="auto"/>
                <w:right w:val="none" w:sz="0" w:space="0" w:color="auto"/>
              </w:divBdr>
              <w:divsChild>
                <w:div w:id="11213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1934">
      <w:bodyDiv w:val="1"/>
      <w:marLeft w:val="0"/>
      <w:marRight w:val="0"/>
      <w:marTop w:val="0"/>
      <w:marBottom w:val="0"/>
      <w:divBdr>
        <w:top w:val="none" w:sz="0" w:space="0" w:color="auto"/>
        <w:left w:val="none" w:sz="0" w:space="0" w:color="auto"/>
        <w:bottom w:val="none" w:sz="0" w:space="0" w:color="auto"/>
        <w:right w:val="none" w:sz="0" w:space="0" w:color="auto"/>
      </w:divBdr>
      <w:divsChild>
        <w:div w:id="341588694">
          <w:marLeft w:val="0"/>
          <w:marRight w:val="0"/>
          <w:marTop w:val="0"/>
          <w:marBottom w:val="0"/>
          <w:divBdr>
            <w:top w:val="none" w:sz="0" w:space="0" w:color="auto"/>
            <w:left w:val="none" w:sz="0" w:space="0" w:color="auto"/>
            <w:bottom w:val="none" w:sz="0" w:space="0" w:color="auto"/>
            <w:right w:val="none" w:sz="0" w:space="0" w:color="auto"/>
          </w:divBdr>
          <w:divsChild>
            <w:div w:id="2120448559">
              <w:marLeft w:val="0"/>
              <w:marRight w:val="0"/>
              <w:marTop w:val="0"/>
              <w:marBottom w:val="0"/>
              <w:divBdr>
                <w:top w:val="none" w:sz="0" w:space="0" w:color="auto"/>
                <w:left w:val="none" w:sz="0" w:space="0" w:color="auto"/>
                <w:bottom w:val="none" w:sz="0" w:space="0" w:color="auto"/>
                <w:right w:val="none" w:sz="0" w:space="0" w:color="auto"/>
              </w:divBdr>
              <w:divsChild>
                <w:div w:id="16451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4269">
      <w:bodyDiv w:val="1"/>
      <w:marLeft w:val="0"/>
      <w:marRight w:val="0"/>
      <w:marTop w:val="0"/>
      <w:marBottom w:val="0"/>
      <w:divBdr>
        <w:top w:val="none" w:sz="0" w:space="0" w:color="auto"/>
        <w:left w:val="none" w:sz="0" w:space="0" w:color="auto"/>
        <w:bottom w:val="none" w:sz="0" w:space="0" w:color="auto"/>
        <w:right w:val="none" w:sz="0" w:space="0" w:color="auto"/>
      </w:divBdr>
      <w:divsChild>
        <w:div w:id="723673929">
          <w:marLeft w:val="0"/>
          <w:marRight w:val="0"/>
          <w:marTop w:val="0"/>
          <w:marBottom w:val="0"/>
          <w:divBdr>
            <w:top w:val="none" w:sz="0" w:space="0" w:color="auto"/>
            <w:left w:val="none" w:sz="0" w:space="0" w:color="auto"/>
            <w:bottom w:val="none" w:sz="0" w:space="0" w:color="auto"/>
            <w:right w:val="none" w:sz="0" w:space="0" w:color="auto"/>
          </w:divBdr>
        </w:div>
        <w:div w:id="158355736">
          <w:marLeft w:val="0"/>
          <w:marRight w:val="0"/>
          <w:marTop w:val="0"/>
          <w:marBottom w:val="0"/>
          <w:divBdr>
            <w:top w:val="none" w:sz="0" w:space="0" w:color="auto"/>
            <w:left w:val="none" w:sz="0" w:space="0" w:color="auto"/>
            <w:bottom w:val="none" w:sz="0" w:space="0" w:color="auto"/>
            <w:right w:val="none" w:sz="0" w:space="0" w:color="auto"/>
          </w:divBdr>
        </w:div>
      </w:divsChild>
    </w:div>
    <w:div w:id="985090799">
      <w:bodyDiv w:val="1"/>
      <w:marLeft w:val="0"/>
      <w:marRight w:val="0"/>
      <w:marTop w:val="0"/>
      <w:marBottom w:val="0"/>
      <w:divBdr>
        <w:top w:val="none" w:sz="0" w:space="0" w:color="auto"/>
        <w:left w:val="none" w:sz="0" w:space="0" w:color="auto"/>
        <w:bottom w:val="none" w:sz="0" w:space="0" w:color="auto"/>
        <w:right w:val="none" w:sz="0" w:space="0" w:color="auto"/>
      </w:divBdr>
      <w:divsChild>
        <w:div w:id="942419118">
          <w:marLeft w:val="0"/>
          <w:marRight w:val="0"/>
          <w:marTop w:val="0"/>
          <w:marBottom w:val="0"/>
          <w:divBdr>
            <w:top w:val="none" w:sz="0" w:space="0" w:color="auto"/>
            <w:left w:val="none" w:sz="0" w:space="0" w:color="auto"/>
            <w:bottom w:val="none" w:sz="0" w:space="0" w:color="auto"/>
            <w:right w:val="none" w:sz="0" w:space="0" w:color="auto"/>
          </w:divBdr>
        </w:div>
        <w:div w:id="502671731">
          <w:marLeft w:val="0"/>
          <w:marRight w:val="0"/>
          <w:marTop w:val="0"/>
          <w:marBottom w:val="0"/>
          <w:divBdr>
            <w:top w:val="none" w:sz="0" w:space="0" w:color="auto"/>
            <w:left w:val="none" w:sz="0" w:space="0" w:color="auto"/>
            <w:bottom w:val="none" w:sz="0" w:space="0" w:color="auto"/>
            <w:right w:val="none" w:sz="0" w:space="0" w:color="auto"/>
          </w:divBdr>
        </w:div>
      </w:divsChild>
    </w:div>
    <w:div w:id="1134180328">
      <w:bodyDiv w:val="1"/>
      <w:marLeft w:val="0"/>
      <w:marRight w:val="0"/>
      <w:marTop w:val="0"/>
      <w:marBottom w:val="0"/>
      <w:divBdr>
        <w:top w:val="none" w:sz="0" w:space="0" w:color="auto"/>
        <w:left w:val="none" w:sz="0" w:space="0" w:color="auto"/>
        <w:bottom w:val="none" w:sz="0" w:space="0" w:color="auto"/>
        <w:right w:val="none" w:sz="0" w:space="0" w:color="auto"/>
      </w:divBdr>
    </w:div>
    <w:div w:id="1221407189">
      <w:bodyDiv w:val="1"/>
      <w:marLeft w:val="0"/>
      <w:marRight w:val="0"/>
      <w:marTop w:val="0"/>
      <w:marBottom w:val="0"/>
      <w:divBdr>
        <w:top w:val="none" w:sz="0" w:space="0" w:color="auto"/>
        <w:left w:val="none" w:sz="0" w:space="0" w:color="auto"/>
        <w:bottom w:val="none" w:sz="0" w:space="0" w:color="auto"/>
        <w:right w:val="none" w:sz="0" w:space="0" w:color="auto"/>
      </w:divBdr>
    </w:div>
    <w:div w:id="1223834931">
      <w:bodyDiv w:val="1"/>
      <w:marLeft w:val="0"/>
      <w:marRight w:val="0"/>
      <w:marTop w:val="0"/>
      <w:marBottom w:val="0"/>
      <w:divBdr>
        <w:top w:val="none" w:sz="0" w:space="0" w:color="auto"/>
        <w:left w:val="none" w:sz="0" w:space="0" w:color="auto"/>
        <w:bottom w:val="none" w:sz="0" w:space="0" w:color="auto"/>
        <w:right w:val="none" w:sz="0" w:space="0" w:color="auto"/>
      </w:divBdr>
    </w:div>
    <w:div w:id="1325739988">
      <w:bodyDiv w:val="1"/>
      <w:marLeft w:val="0"/>
      <w:marRight w:val="0"/>
      <w:marTop w:val="0"/>
      <w:marBottom w:val="0"/>
      <w:divBdr>
        <w:top w:val="none" w:sz="0" w:space="0" w:color="auto"/>
        <w:left w:val="none" w:sz="0" w:space="0" w:color="auto"/>
        <w:bottom w:val="none" w:sz="0" w:space="0" w:color="auto"/>
        <w:right w:val="none" w:sz="0" w:space="0" w:color="auto"/>
      </w:divBdr>
      <w:divsChild>
        <w:div w:id="103961227">
          <w:marLeft w:val="0"/>
          <w:marRight w:val="0"/>
          <w:marTop w:val="0"/>
          <w:marBottom w:val="0"/>
          <w:divBdr>
            <w:top w:val="none" w:sz="0" w:space="0" w:color="auto"/>
            <w:left w:val="none" w:sz="0" w:space="0" w:color="auto"/>
            <w:bottom w:val="none" w:sz="0" w:space="0" w:color="auto"/>
            <w:right w:val="none" w:sz="0" w:space="0" w:color="auto"/>
          </w:divBdr>
          <w:divsChild>
            <w:div w:id="1219243195">
              <w:marLeft w:val="0"/>
              <w:marRight w:val="0"/>
              <w:marTop w:val="0"/>
              <w:marBottom w:val="0"/>
              <w:divBdr>
                <w:top w:val="none" w:sz="0" w:space="0" w:color="auto"/>
                <w:left w:val="none" w:sz="0" w:space="0" w:color="auto"/>
                <w:bottom w:val="none" w:sz="0" w:space="0" w:color="auto"/>
                <w:right w:val="none" w:sz="0" w:space="0" w:color="auto"/>
              </w:divBdr>
              <w:divsChild>
                <w:div w:id="1529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5584">
      <w:bodyDiv w:val="1"/>
      <w:marLeft w:val="0"/>
      <w:marRight w:val="0"/>
      <w:marTop w:val="0"/>
      <w:marBottom w:val="0"/>
      <w:divBdr>
        <w:top w:val="none" w:sz="0" w:space="0" w:color="auto"/>
        <w:left w:val="none" w:sz="0" w:space="0" w:color="auto"/>
        <w:bottom w:val="none" w:sz="0" w:space="0" w:color="auto"/>
        <w:right w:val="none" w:sz="0" w:space="0" w:color="auto"/>
      </w:divBdr>
    </w:div>
    <w:div w:id="1481776058">
      <w:bodyDiv w:val="1"/>
      <w:marLeft w:val="0"/>
      <w:marRight w:val="0"/>
      <w:marTop w:val="0"/>
      <w:marBottom w:val="0"/>
      <w:divBdr>
        <w:top w:val="none" w:sz="0" w:space="0" w:color="auto"/>
        <w:left w:val="none" w:sz="0" w:space="0" w:color="auto"/>
        <w:bottom w:val="none" w:sz="0" w:space="0" w:color="auto"/>
        <w:right w:val="none" w:sz="0" w:space="0" w:color="auto"/>
      </w:divBdr>
      <w:divsChild>
        <w:div w:id="1342078020">
          <w:marLeft w:val="0"/>
          <w:marRight w:val="0"/>
          <w:marTop w:val="0"/>
          <w:marBottom w:val="0"/>
          <w:divBdr>
            <w:top w:val="none" w:sz="0" w:space="0" w:color="auto"/>
            <w:left w:val="none" w:sz="0" w:space="0" w:color="auto"/>
            <w:bottom w:val="none" w:sz="0" w:space="0" w:color="auto"/>
            <w:right w:val="none" w:sz="0" w:space="0" w:color="auto"/>
          </w:divBdr>
          <w:divsChild>
            <w:div w:id="528613438">
              <w:marLeft w:val="0"/>
              <w:marRight w:val="0"/>
              <w:marTop w:val="0"/>
              <w:marBottom w:val="0"/>
              <w:divBdr>
                <w:top w:val="none" w:sz="0" w:space="0" w:color="auto"/>
                <w:left w:val="none" w:sz="0" w:space="0" w:color="auto"/>
                <w:bottom w:val="none" w:sz="0" w:space="0" w:color="auto"/>
                <w:right w:val="none" w:sz="0" w:space="0" w:color="auto"/>
              </w:divBdr>
              <w:divsChild>
                <w:div w:id="1478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3365">
      <w:bodyDiv w:val="1"/>
      <w:marLeft w:val="0"/>
      <w:marRight w:val="0"/>
      <w:marTop w:val="0"/>
      <w:marBottom w:val="0"/>
      <w:divBdr>
        <w:top w:val="none" w:sz="0" w:space="0" w:color="auto"/>
        <w:left w:val="none" w:sz="0" w:space="0" w:color="auto"/>
        <w:bottom w:val="none" w:sz="0" w:space="0" w:color="auto"/>
        <w:right w:val="none" w:sz="0" w:space="0" w:color="auto"/>
      </w:divBdr>
    </w:div>
    <w:div w:id="1546214221">
      <w:bodyDiv w:val="1"/>
      <w:marLeft w:val="0"/>
      <w:marRight w:val="0"/>
      <w:marTop w:val="0"/>
      <w:marBottom w:val="0"/>
      <w:divBdr>
        <w:top w:val="none" w:sz="0" w:space="0" w:color="auto"/>
        <w:left w:val="none" w:sz="0" w:space="0" w:color="auto"/>
        <w:bottom w:val="none" w:sz="0" w:space="0" w:color="auto"/>
        <w:right w:val="none" w:sz="0" w:space="0" w:color="auto"/>
      </w:divBdr>
    </w:div>
    <w:div w:id="1579287390">
      <w:bodyDiv w:val="1"/>
      <w:marLeft w:val="0"/>
      <w:marRight w:val="0"/>
      <w:marTop w:val="0"/>
      <w:marBottom w:val="0"/>
      <w:divBdr>
        <w:top w:val="none" w:sz="0" w:space="0" w:color="auto"/>
        <w:left w:val="none" w:sz="0" w:space="0" w:color="auto"/>
        <w:bottom w:val="none" w:sz="0" w:space="0" w:color="auto"/>
        <w:right w:val="none" w:sz="0" w:space="0" w:color="auto"/>
      </w:divBdr>
      <w:divsChild>
        <w:div w:id="2063868312">
          <w:marLeft w:val="0"/>
          <w:marRight w:val="0"/>
          <w:marTop w:val="0"/>
          <w:marBottom w:val="0"/>
          <w:divBdr>
            <w:top w:val="none" w:sz="0" w:space="0" w:color="auto"/>
            <w:left w:val="none" w:sz="0" w:space="0" w:color="auto"/>
            <w:bottom w:val="none" w:sz="0" w:space="0" w:color="auto"/>
            <w:right w:val="none" w:sz="0" w:space="0" w:color="auto"/>
          </w:divBdr>
          <w:divsChild>
            <w:div w:id="1598442488">
              <w:marLeft w:val="0"/>
              <w:marRight w:val="0"/>
              <w:marTop w:val="0"/>
              <w:marBottom w:val="0"/>
              <w:divBdr>
                <w:top w:val="none" w:sz="0" w:space="0" w:color="auto"/>
                <w:left w:val="none" w:sz="0" w:space="0" w:color="auto"/>
                <w:bottom w:val="none" w:sz="0" w:space="0" w:color="auto"/>
                <w:right w:val="none" w:sz="0" w:space="0" w:color="auto"/>
              </w:divBdr>
              <w:divsChild>
                <w:div w:id="11959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5740">
      <w:bodyDiv w:val="1"/>
      <w:marLeft w:val="0"/>
      <w:marRight w:val="0"/>
      <w:marTop w:val="0"/>
      <w:marBottom w:val="0"/>
      <w:divBdr>
        <w:top w:val="none" w:sz="0" w:space="0" w:color="auto"/>
        <w:left w:val="none" w:sz="0" w:space="0" w:color="auto"/>
        <w:bottom w:val="none" w:sz="0" w:space="0" w:color="auto"/>
        <w:right w:val="none" w:sz="0" w:space="0" w:color="auto"/>
      </w:divBdr>
      <w:divsChild>
        <w:div w:id="1315261988">
          <w:marLeft w:val="0"/>
          <w:marRight w:val="0"/>
          <w:marTop w:val="0"/>
          <w:marBottom w:val="0"/>
          <w:divBdr>
            <w:top w:val="none" w:sz="0" w:space="0" w:color="auto"/>
            <w:left w:val="none" w:sz="0" w:space="0" w:color="auto"/>
            <w:bottom w:val="none" w:sz="0" w:space="0" w:color="auto"/>
            <w:right w:val="none" w:sz="0" w:space="0" w:color="auto"/>
          </w:divBdr>
          <w:divsChild>
            <w:div w:id="1099182746">
              <w:marLeft w:val="0"/>
              <w:marRight w:val="0"/>
              <w:marTop w:val="0"/>
              <w:marBottom w:val="0"/>
              <w:divBdr>
                <w:top w:val="none" w:sz="0" w:space="0" w:color="auto"/>
                <w:left w:val="none" w:sz="0" w:space="0" w:color="auto"/>
                <w:bottom w:val="none" w:sz="0" w:space="0" w:color="auto"/>
                <w:right w:val="none" w:sz="0" w:space="0" w:color="auto"/>
              </w:divBdr>
              <w:divsChild>
                <w:div w:id="1547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5812">
      <w:bodyDiv w:val="1"/>
      <w:marLeft w:val="0"/>
      <w:marRight w:val="0"/>
      <w:marTop w:val="0"/>
      <w:marBottom w:val="0"/>
      <w:divBdr>
        <w:top w:val="none" w:sz="0" w:space="0" w:color="auto"/>
        <w:left w:val="none" w:sz="0" w:space="0" w:color="auto"/>
        <w:bottom w:val="none" w:sz="0" w:space="0" w:color="auto"/>
        <w:right w:val="none" w:sz="0" w:space="0" w:color="auto"/>
      </w:divBdr>
      <w:divsChild>
        <w:div w:id="1164783625">
          <w:marLeft w:val="0"/>
          <w:marRight w:val="0"/>
          <w:marTop w:val="0"/>
          <w:marBottom w:val="0"/>
          <w:divBdr>
            <w:top w:val="none" w:sz="0" w:space="0" w:color="auto"/>
            <w:left w:val="none" w:sz="0" w:space="0" w:color="auto"/>
            <w:bottom w:val="none" w:sz="0" w:space="0" w:color="auto"/>
            <w:right w:val="none" w:sz="0" w:space="0" w:color="auto"/>
          </w:divBdr>
          <w:divsChild>
            <w:div w:id="1922637107">
              <w:marLeft w:val="0"/>
              <w:marRight w:val="0"/>
              <w:marTop w:val="0"/>
              <w:marBottom w:val="0"/>
              <w:divBdr>
                <w:top w:val="none" w:sz="0" w:space="0" w:color="auto"/>
                <w:left w:val="none" w:sz="0" w:space="0" w:color="auto"/>
                <w:bottom w:val="none" w:sz="0" w:space="0" w:color="auto"/>
                <w:right w:val="none" w:sz="0" w:space="0" w:color="auto"/>
              </w:divBdr>
              <w:divsChild>
                <w:div w:id="21221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1910">
      <w:bodyDiv w:val="1"/>
      <w:marLeft w:val="0"/>
      <w:marRight w:val="0"/>
      <w:marTop w:val="0"/>
      <w:marBottom w:val="0"/>
      <w:divBdr>
        <w:top w:val="none" w:sz="0" w:space="0" w:color="auto"/>
        <w:left w:val="none" w:sz="0" w:space="0" w:color="auto"/>
        <w:bottom w:val="none" w:sz="0" w:space="0" w:color="auto"/>
        <w:right w:val="none" w:sz="0" w:space="0" w:color="auto"/>
      </w:divBdr>
    </w:div>
    <w:div w:id="1724670253">
      <w:bodyDiv w:val="1"/>
      <w:marLeft w:val="0"/>
      <w:marRight w:val="0"/>
      <w:marTop w:val="0"/>
      <w:marBottom w:val="0"/>
      <w:divBdr>
        <w:top w:val="none" w:sz="0" w:space="0" w:color="auto"/>
        <w:left w:val="none" w:sz="0" w:space="0" w:color="auto"/>
        <w:bottom w:val="none" w:sz="0" w:space="0" w:color="auto"/>
        <w:right w:val="none" w:sz="0" w:space="0" w:color="auto"/>
      </w:divBdr>
      <w:divsChild>
        <w:div w:id="1468814301">
          <w:marLeft w:val="0"/>
          <w:marRight w:val="0"/>
          <w:marTop w:val="0"/>
          <w:marBottom w:val="0"/>
          <w:divBdr>
            <w:top w:val="none" w:sz="0" w:space="0" w:color="auto"/>
            <w:left w:val="none" w:sz="0" w:space="0" w:color="auto"/>
            <w:bottom w:val="none" w:sz="0" w:space="0" w:color="auto"/>
            <w:right w:val="none" w:sz="0" w:space="0" w:color="auto"/>
          </w:divBdr>
          <w:divsChild>
            <w:div w:id="1352145931">
              <w:marLeft w:val="0"/>
              <w:marRight w:val="0"/>
              <w:marTop w:val="0"/>
              <w:marBottom w:val="0"/>
              <w:divBdr>
                <w:top w:val="none" w:sz="0" w:space="0" w:color="auto"/>
                <w:left w:val="none" w:sz="0" w:space="0" w:color="auto"/>
                <w:bottom w:val="none" w:sz="0" w:space="0" w:color="auto"/>
                <w:right w:val="none" w:sz="0" w:space="0" w:color="auto"/>
              </w:divBdr>
              <w:divsChild>
                <w:div w:id="1498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4017">
      <w:bodyDiv w:val="1"/>
      <w:marLeft w:val="0"/>
      <w:marRight w:val="0"/>
      <w:marTop w:val="0"/>
      <w:marBottom w:val="0"/>
      <w:divBdr>
        <w:top w:val="none" w:sz="0" w:space="0" w:color="auto"/>
        <w:left w:val="none" w:sz="0" w:space="0" w:color="auto"/>
        <w:bottom w:val="none" w:sz="0" w:space="0" w:color="auto"/>
        <w:right w:val="none" w:sz="0" w:space="0" w:color="auto"/>
      </w:divBdr>
    </w:div>
    <w:div w:id="1767995210">
      <w:bodyDiv w:val="1"/>
      <w:marLeft w:val="0"/>
      <w:marRight w:val="0"/>
      <w:marTop w:val="0"/>
      <w:marBottom w:val="0"/>
      <w:divBdr>
        <w:top w:val="none" w:sz="0" w:space="0" w:color="auto"/>
        <w:left w:val="none" w:sz="0" w:space="0" w:color="auto"/>
        <w:bottom w:val="none" w:sz="0" w:space="0" w:color="auto"/>
        <w:right w:val="none" w:sz="0" w:space="0" w:color="auto"/>
      </w:divBdr>
      <w:divsChild>
        <w:div w:id="1386680961">
          <w:marLeft w:val="0"/>
          <w:marRight w:val="0"/>
          <w:marTop w:val="0"/>
          <w:marBottom w:val="0"/>
          <w:divBdr>
            <w:top w:val="none" w:sz="0" w:space="0" w:color="auto"/>
            <w:left w:val="none" w:sz="0" w:space="0" w:color="auto"/>
            <w:bottom w:val="none" w:sz="0" w:space="0" w:color="auto"/>
            <w:right w:val="none" w:sz="0" w:space="0" w:color="auto"/>
          </w:divBdr>
          <w:divsChild>
            <w:div w:id="163017591">
              <w:marLeft w:val="0"/>
              <w:marRight w:val="0"/>
              <w:marTop w:val="0"/>
              <w:marBottom w:val="0"/>
              <w:divBdr>
                <w:top w:val="none" w:sz="0" w:space="0" w:color="auto"/>
                <w:left w:val="none" w:sz="0" w:space="0" w:color="auto"/>
                <w:bottom w:val="none" w:sz="0" w:space="0" w:color="auto"/>
                <w:right w:val="none" w:sz="0" w:space="0" w:color="auto"/>
              </w:divBdr>
              <w:divsChild>
                <w:div w:id="12331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9929">
      <w:bodyDiv w:val="1"/>
      <w:marLeft w:val="0"/>
      <w:marRight w:val="0"/>
      <w:marTop w:val="0"/>
      <w:marBottom w:val="0"/>
      <w:divBdr>
        <w:top w:val="none" w:sz="0" w:space="0" w:color="auto"/>
        <w:left w:val="none" w:sz="0" w:space="0" w:color="auto"/>
        <w:bottom w:val="none" w:sz="0" w:space="0" w:color="auto"/>
        <w:right w:val="none" w:sz="0" w:space="0" w:color="auto"/>
      </w:divBdr>
      <w:divsChild>
        <w:div w:id="84501113">
          <w:marLeft w:val="0"/>
          <w:marRight w:val="0"/>
          <w:marTop w:val="0"/>
          <w:marBottom w:val="0"/>
          <w:divBdr>
            <w:top w:val="none" w:sz="0" w:space="0" w:color="auto"/>
            <w:left w:val="none" w:sz="0" w:space="0" w:color="auto"/>
            <w:bottom w:val="none" w:sz="0" w:space="0" w:color="auto"/>
            <w:right w:val="none" w:sz="0" w:space="0" w:color="auto"/>
          </w:divBdr>
          <w:divsChild>
            <w:div w:id="761023440">
              <w:marLeft w:val="0"/>
              <w:marRight w:val="0"/>
              <w:marTop w:val="0"/>
              <w:marBottom w:val="0"/>
              <w:divBdr>
                <w:top w:val="none" w:sz="0" w:space="0" w:color="auto"/>
                <w:left w:val="none" w:sz="0" w:space="0" w:color="auto"/>
                <w:bottom w:val="none" w:sz="0" w:space="0" w:color="auto"/>
                <w:right w:val="none" w:sz="0" w:space="0" w:color="auto"/>
              </w:divBdr>
              <w:divsChild>
                <w:div w:id="2001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451">
      <w:bodyDiv w:val="1"/>
      <w:marLeft w:val="0"/>
      <w:marRight w:val="0"/>
      <w:marTop w:val="0"/>
      <w:marBottom w:val="0"/>
      <w:divBdr>
        <w:top w:val="none" w:sz="0" w:space="0" w:color="auto"/>
        <w:left w:val="none" w:sz="0" w:space="0" w:color="auto"/>
        <w:bottom w:val="none" w:sz="0" w:space="0" w:color="auto"/>
        <w:right w:val="none" w:sz="0" w:space="0" w:color="auto"/>
      </w:divBdr>
    </w:div>
    <w:div w:id="1877154543">
      <w:bodyDiv w:val="1"/>
      <w:marLeft w:val="0"/>
      <w:marRight w:val="0"/>
      <w:marTop w:val="0"/>
      <w:marBottom w:val="0"/>
      <w:divBdr>
        <w:top w:val="none" w:sz="0" w:space="0" w:color="auto"/>
        <w:left w:val="none" w:sz="0" w:space="0" w:color="auto"/>
        <w:bottom w:val="none" w:sz="0" w:space="0" w:color="auto"/>
        <w:right w:val="none" w:sz="0" w:space="0" w:color="auto"/>
      </w:divBdr>
      <w:divsChild>
        <w:div w:id="248739871">
          <w:marLeft w:val="480"/>
          <w:marRight w:val="480"/>
          <w:marTop w:val="0"/>
          <w:marBottom w:val="0"/>
          <w:divBdr>
            <w:top w:val="none" w:sz="0" w:space="0" w:color="auto"/>
            <w:left w:val="none" w:sz="0" w:space="0" w:color="auto"/>
            <w:bottom w:val="none" w:sz="0" w:space="0" w:color="auto"/>
            <w:right w:val="none" w:sz="0" w:space="0" w:color="auto"/>
          </w:divBdr>
          <w:divsChild>
            <w:div w:id="1657415343">
              <w:marLeft w:val="0"/>
              <w:marRight w:val="0"/>
              <w:marTop w:val="0"/>
              <w:marBottom w:val="0"/>
              <w:divBdr>
                <w:top w:val="none" w:sz="0" w:space="0" w:color="auto"/>
                <w:left w:val="none" w:sz="0" w:space="0" w:color="auto"/>
                <w:bottom w:val="none" w:sz="0" w:space="0" w:color="auto"/>
                <w:right w:val="none" w:sz="0" w:space="0" w:color="auto"/>
              </w:divBdr>
              <w:divsChild>
                <w:div w:id="4441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5">
      <w:bodyDiv w:val="1"/>
      <w:marLeft w:val="0"/>
      <w:marRight w:val="0"/>
      <w:marTop w:val="0"/>
      <w:marBottom w:val="0"/>
      <w:divBdr>
        <w:top w:val="none" w:sz="0" w:space="0" w:color="auto"/>
        <w:left w:val="none" w:sz="0" w:space="0" w:color="auto"/>
        <w:bottom w:val="none" w:sz="0" w:space="0" w:color="auto"/>
        <w:right w:val="none" w:sz="0" w:space="0" w:color="auto"/>
      </w:divBdr>
    </w:div>
    <w:div w:id="1961297637">
      <w:bodyDiv w:val="1"/>
      <w:marLeft w:val="0"/>
      <w:marRight w:val="0"/>
      <w:marTop w:val="0"/>
      <w:marBottom w:val="0"/>
      <w:divBdr>
        <w:top w:val="none" w:sz="0" w:space="0" w:color="auto"/>
        <w:left w:val="none" w:sz="0" w:space="0" w:color="auto"/>
        <w:bottom w:val="none" w:sz="0" w:space="0" w:color="auto"/>
        <w:right w:val="none" w:sz="0" w:space="0" w:color="auto"/>
      </w:divBdr>
      <w:divsChild>
        <w:div w:id="1422750661">
          <w:marLeft w:val="0"/>
          <w:marRight w:val="0"/>
          <w:marTop w:val="0"/>
          <w:marBottom w:val="0"/>
          <w:divBdr>
            <w:top w:val="none" w:sz="0" w:space="0" w:color="auto"/>
            <w:left w:val="none" w:sz="0" w:space="0" w:color="auto"/>
            <w:bottom w:val="none" w:sz="0" w:space="0" w:color="auto"/>
            <w:right w:val="none" w:sz="0" w:space="0" w:color="auto"/>
          </w:divBdr>
          <w:divsChild>
            <w:div w:id="1019427626">
              <w:marLeft w:val="0"/>
              <w:marRight w:val="0"/>
              <w:marTop w:val="0"/>
              <w:marBottom w:val="0"/>
              <w:divBdr>
                <w:top w:val="none" w:sz="0" w:space="0" w:color="auto"/>
                <w:left w:val="none" w:sz="0" w:space="0" w:color="auto"/>
                <w:bottom w:val="none" w:sz="0" w:space="0" w:color="auto"/>
                <w:right w:val="none" w:sz="0" w:space="0" w:color="auto"/>
              </w:divBdr>
              <w:divsChild>
                <w:div w:id="1906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0286">
      <w:bodyDiv w:val="1"/>
      <w:marLeft w:val="0"/>
      <w:marRight w:val="0"/>
      <w:marTop w:val="0"/>
      <w:marBottom w:val="0"/>
      <w:divBdr>
        <w:top w:val="none" w:sz="0" w:space="0" w:color="auto"/>
        <w:left w:val="none" w:sz="0" w:space="0" w:color="auto"/>
        <w:bottom w:val="none" w:sz="0" w:space="0" w:color="auto"/>
        <w:right w:val="none" w:sz="0" w:space="0" w:color="auto"/>
      </w:divBdr>
      <w:divsChild>
        <w:div w:id="1976333266">
          <w:marLeft w:val="0"/>
          <w:marRight w:val="0"/>
          <w:marTop w:val="0"/>
          <w:marBottom w:val="0"/>
          <w:divBdr>
            <w:top w:val="none" w:sz="0" w:space="0" w:color="auto"/>
            <w:left w:val="none" w:sz="0" w:space="0" w:color="auto"/>
            <w:bottom w:val="none" w:sz="0" w:space="0" w:color="auto"/>
            <w:right w:val="none" w:sz="0" w:space="0" w:color="auto"/>
          </w:divBdr>
          <w:divsChild>
            <w:div w:id="1687100074">
              <w:marLeft w:val="0"/>
              <w:marRight w:val="0"/>
              <w:marTop w:val="0"/>
              <w:marBottom w:val="0"/>
              <w:divBdr>
                <w:top w:val="none" w:sz="0" w:space="0" w:color="auto"/>
                <w:left w:val="none" w:sz="0" w:space="0" w:color="auto"/>
                <w:bottom w:val="none" w:sz="0" w:space="0" w:color="auto"/>
                <w:right w:val="none" w:sz="0" w:space="0" w:color="auto"/>
              </w:divBdr>
              <w:divsChild>
                <w:div w:id="5821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2384">
      <w:bodyDiv w:val="1"/>
      <w:marLeft w:val="0"/>
      <w:marRight w:val="0"/>
      <w:marTop w:val="0"/>
      <w:marBottom w:val="0"/>
      <w:divBdr>
        <w:top w:val="none" w:sz="0" w:space="0" w:color="auto"/>
        <w:left w:val="none" w:sz="0" w:space="0" w:color="auto"/>
        <w:bottom w:val="none" w:sz="0" w:space="0" w:color="auto"/>
        <w:right w:val="none" w:sz="0" w:space="0" w:color="auto"/>
      </w:divBdr>
    </w:div>
    <w:div w:id="2086608542">
      <w:bodyDiv w:val="1"/>
      <w:marLeft w:val="0"/>
      <w:marRight w:val="0"/>
      <w:marTop w:val="0"/>
      <w:marBottom w:val="0"/>
      <w:divBdr>
        <w:top w:val="none" w:sz="0" w:space="0" w:color="auto"/>
        <w:left w:val="none" w:sz="0" w:space="0" w:color="auto"/>
        <w:bottom w:val="none" w:sz="0" w:space="0" w:color="auto"/>
        <w:right w:val="none" w:sz="0" w:space="0" w:color="auto"/>
      </w:divBdr>
      <w:divsChild>
        <w:div w:id="674724048">
          <w:marLeft w:val="0"/>
          <w:marRight w:val="0"/>
          <w:marTop w:val="0"/>
          <w:marBottom w:val="0"/>
          <w:divBdr>
            <w:top w:val="none" w:sz="0" w:space="0" w:color="auto"/>
            <w:left w:val="none" w:sz="0" w:space="0" w:color="auto"/>
            <w:bottom w:val="none" w:sz="0" w:space="0" w:color="auto"/>
            <w:right w:val="none" w:sz="0" w:space="0" w:color="auto"/>
          </w:divBdr>
          <w:divsChild>
            <w:div w:id="1793089056">
              <w:marLeft w:val="0"/>
              <w:marRight w:val="0"/>
              <w:marTop w:val="0"/>
              <w:marBottom w:val="0"/>
              <w:divBdr>
                <w:top w:val="none" w:sz="0" w:space="0" w:color="auto"/>
                <w:left w:val="none" w:sz="0" w:space="0" w:color="auto"/>
                <w:bottom w:val="none" w:sz="0" w:space="0" w:color="auto"/>
                <w:right w:val="none" w:sz="0" w:space="0" w:color="auto"/>
              </w:divBdr>
              <w:divsChild>
                <w:div w:id="2672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077801203256000" TargetMode="External"/><Relationship Id="rId18" Type="http://schemas.openxmlformats.org/officeDocument/2006/relationships/hyperlink" Target="https://doi.org/10.5590/JSWGC.2017.02.1.02" TargetMode="External"/><Relationship Id="rId26" Type="http://schemas.openxmlformats.org/officeDocument/2006/relationships/hyperlink" Target="https://doi.org/10.1177/1077801205274522" TargetMode="External"/><Relationship Id="rId39" Type="http://schemas.openxmlformats.org/officeDocument/2006/relationships/hyperlink" Target="https://www.ons.gov.uk/peoplepopulationandcommunity/populationandmigration/internationalmigration/datasets/populationoftheunitedkingdombycountryofbirthandnationality" TargetMode="External"/><Relationship Id="rId21" Type="http://schemas.openxmlformats.org/officeDocument/2006/relationships/hyperlink" Target="https://www.cdc.gov/violenceprevention/pdf/ipv/intimatepartnerviolence.pdf" TargetMode="External"/><Relationship Id="rId34" Type="http://schemas.openxmlformats.org/officeDocument/2006/relationships/hyperlink" Target="https://doi.org/10.1332/204674315X14501013130928" TargetMode="External"/><Relationship Id="rId42" Type="http://schemas.openxmlformats.org/officeDocument/2006/relationships/hyperlink" Target="https://doi.org/10.1177%2F08862605211015262" TargetMode="External"/><Relationship Id="rId47" Type="http://schemas.openxmlformats.org/officeDocument/2006/relationships/hyperlink" Target="https://doi.org/10.1037/cdp0000189" TargetMode="External"/><Relationship Id="rId50" Type="http://schemas.openxmlformats.org/officeDocument/2006/relationships/hyperlink" Target="https://www12.statcan.gc.ca/census-recensement/2016/dp-pd/dt-td/Rp-eng.cfm?TABID=2&amp;Lang=E&amp;APATH=3&amp;DETAIL=0&amp;DIM=0&amp;FL=A&amp;FREE=0&amp;GC=0&amp;GID=1341679&amp;GK=0&amp;GRP=1&amp;PID=110528&amp;PRID=10&amp;PTYPE=109445&amp;S=0&amp;SHOWALL=0&amp;SUB=0&amp;Temporal=2017&amp;THEME=120&amp;VID=0&amp;VNAMEE=&amp;VNAMEF=&amp;D1=0&amp;D2=0&amp;D3=0&amp;D4=0&amp;D5=0&amp;D6=0" TargetMode="External"/><Relationship Id="rId55" Type="http://schemas.openxmlformats.org/officeDocument/2006/relationships/hyperlink" Target="https://doi.org/10.1177/107780121245516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w.ubalt.edu/centers/caf/pdf/Sabrina%20Balgamwalla.pdf" TargetMode="External"/><Relationship Id="rId29" Type="http://schemas.openxmlformats.org/officeDocument/2006/relationships/hyperlink" Target="https://doi.org/10.1177/10443894211034776" TargetMode="External"/><Relationship Id="rId11" Type="http://schemas.openxmlformats.org/officeDocument/2006/relationships/hyperlink" Target="https://doi.org/10.1177%2F097152150501200212" TargetMode="External"/><Relationship Id="rId24" Type="http://schemas.openxmlformats.org/officeDocument/2006/relationships/hyperlink" Target="https://link.springer.com/article/10.1007%2Fs00737-009-0065-6" TargetMode="External"/><Relationship Id="rId32" Type="http://schemas.openxmlformats.org/officeDocument/2006/relationships/hyperlink" Target="https://doi.org/10.1080/07399332.2019.1641502" TargetMode="External"/><Relationship Id="rId37" Type="http://schemas.openxmlformats.org/officeDocument/2006/relationships/hyperlink" Target="https://www.cdc.gov/violenceprevention/intimatepartnerviolence/fastfact.html" TargetMode="External"/><Relationship Id="rId40" Type="http://schemas.openxmlformats.org/officeDocument/2006/relationships/hyperlink" Target="https://www.oxfordlearnersdictionaries.com/us/definition/english/izzat" TargetMode="External"/><Relationship Id="rId45" Type="http://schemas.openxmlformats.org/officeDocument/2006/relationships/hyperlink" Target="https://doi.org/10.21100/gswr.v1i2.1161" TargetMode="External"/><Relationship Id="rId53" Type="http://schemas.openxmlformats.org/officeDocument/2006/relationships/hyperlink" Target="https://link.springer.com/article/10.1007/s11199-012-0237-0" TargetMode="External"/><Relationship Id="rId58" Type="http://schemas.openxmlformats.org/officeDocument/2006/relationships/image" Target="media/image3.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cdc.gov/violenceprevention/pdf/NISVS_Report2010-a.pdf" TargetMode="External"/><Relationship Id="rId14" Type="http://schemas.openxmlformats.org/officeDocument/2006/relationships/hyperlink" Target="http://www.profdevjournal.org/articles/231027.pdf" TargetMode="External"/><Relationship Id="rId22" Type="http://schemas.openxmlformats.org/officeDocument/2006/relationships/hyperlink" Target="https://www.pewresearch.org/fact-tank/2020/08/20/key-findings-about-u-s-immigrants/" TargetMode="External"/><Relationship Id="rId27" Type="http://schemas.openxmlformats.org/officeDocument/2006/relationships/hyperlink" Target="https://www.gov.uk/government/publications/domestic-abuse-bill-2020-factsheets/domestic-abuse-bill-2020-overarching-factsheet" TargetMode="External"/><Relationship Id="rId30" Type="http://schemas.openxmlformats.org/officeDocument/2006/relationships/hyperlink" Target="https://www.emerald.com/insight/content/doi/10.1108/AAAJ-08-2017-3067/full/html" TargetMode="External"/><Relationship Id="rId35" Type="http://schemas.openxmlformats.org/officeDocument/2006/relationships/hyperlink" Target="https://ncadv.org/blog/posts/quick-guide-economic-and-financial-abuse" TargetMode="External"/><Relationship Id="rId43" Type="http://schemas.openxmlformats.org/officeDocument/2006/relationships/hyperlink" Target="https://pubmed.ncbi.nlm.nih.gov/33320385/" TargetMode="External"/><Relationship Id="rId48" Type="http://schemas.openxmlformats.org/officeDocument/2006/relationships/hyperlink" Target="https://pubmed.ncbi.nlm.nih.gov/31053043/" TargetMode="External"/><Relationship Id="rId56"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hyperlink" Target="https://www.govinfo.gov/content/pkg/PLAW-109publ162/html/PLAW-109publ162.htm" TargetMode="External"/><Relationship Id="rId3" Type="http://schemas.openxmlformats.org/officeDocument/2006/relationships/customXml" Target="../customXml/item3.xml"/><Relationship Id="rId12" Type="http://schemas.openxmlformats.org/officeDocument/2006/relationships/hyperlink" Target="https://dx.doi.org/10.1007%2Fs10903-015-0301-2" TargetMode="External"/><Relationship Id="rId17" Type="http://schemas.openxmlformats.org/officeDocument/2006/relationships/hyperlink" Target="https://doi.org/10.1080/07399332.2017.1385615" TargetMode="External"/><Relationship Id="rId25" Type="http://schemas.openxmlformats.org/officeDocument/2006/relationships/hyperlink" Target="https://s3.amazonaws.com/fwvcorp/wp-content/uploads/20160121105935/Power-control-wheel-eng-4-w-description.pdf" TargetMode="External"/><Relationship Id="rId33" Type="http://schemas.openxmlformats.org/officeDocument/2006/relationships/hyperlink" Target="https://www.ncbi.nlm.nih.gov/pmc/articles/PMC3885229/" TargetMode="External"/><Relationship Id="rId38" Type="http://schemas.openxmlformats.org/officeDocument/2006/relationships/hyperlink" Target="https://www.ncjrs.gov/ovc_archives/ncvrw/2017/images/en_artwork/Fact_Sheets/2017NCVRW_IPV_508.pdf" TargetMode="External"/><Relationship Id="rId46" Type="http://schemas.openxmlformats.org/officeDocument/2006/relationships/hyperlink" Target="https://journals.sagepub.com/doi/10.1177/1077801206292935" TargetMode="External"/><Relationship Id="rId59" Type="http://schemas.openxmlformats.org/officeDocument/2006/relationships/header" Target="header1.xml"/><Relationship Id="rId20" Type="http://schemas.openxmlformats.org/officeDocument/2006/relationships/hyperlink" Target="https://doi.org/10.1136/bmj.314.7080.572" TargetMode="External"/><Relationship Id="rId41" Type="http://schemas.openxmlformats.org/officeDocument/2006/relationships/hyperlink" Target="https://journals.sagepub.com/doi/10.1177/0886260517708759" TargetMode="External"/><Relationship Id="rId54" Type="http://schemas.openxmlformats.org/officeDocument/2006/relationships/hyperlink" Target="https://www.api-gbv.org/resources/facts-stats-dv-api-hom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177/0886260517753850" TargetMode="External"/><Relationship Id="rId23" Type="http://schemas.openxmlformats.org/officeDocument/2006/relationships/hyperlink" Target="https://www.cdc.gov/mmwr/pdf/ss/ss6308.pdf" TargetMode="External"/><Relationship Id="rId28" Type="http://schemas.openxmlformats.org/officeDocument/2006/relationships/hyperlink" Target="https://pubmed.ncbi.nlm.nih.gov/16791535/" TargetMode="External"/><Relationship Id="rId36" Type="http://schemas.openxmlformats.org/officeDocument/2006/relationships/hyperlink" Target="https://www.cdc.gov/violencePrevention/index.html" TargetMode="External"/><Relationship Id="rId49" Type="http://schemas.openxmlformats.org/officeDocument/2006/relationships/hyperlink" Target="https://saalt.org/wp-content/uploads/2019/04/SAALT-Demographic-Snapshot-2019.pdf" TargetMode="External"/><Relationship Id="rId57" Type="http://schemas.openxmlformats.org/officeDocument/2006/relationships/image" Target="media/image2.png"/><Relationship Id="rId10" Type="http://schemas.openxmlformats.org/officeDocument/2006/relationships/endnotes" Target="endnotes.xml"/><Relationship Id="rId31" Type="http://schemas.openxmlformats.org/officeDocument/2006/relationships/hyperlink" Target="https://doi.org/10.1007/s10896-012-9434-4" TargetMode="External"/><Relationship Id="rId44" Type="http://schemas.openxmlformats.org/officeDocument/2006/relationships/hyperlink" Target="https://doi.org/10.1016/j.avb.2017.12.001" TargetMode="External"/><Relationship Id="rId52" Type="http://schemas.openxmlformats.org/officeDocument/2006/relationships/hyperlink" Target="https://doi.org/10.1891/0886-6708.vv-d-18-00154"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38DB33-39C9-5C4A-9D3B-43C8BC4571E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683E01F0FD24288BCB776CFF51142" ma:contentTypeVersion="13" ma:contentTypeDescription="Create a new document." ma:contentTypeScope="" ma:versionID="32b027ba17916611297434f07aa057fa">
  <xsd:schema xmlns:xsd="http://www.w3.org/2001/XMLSchema" xmlns:xs="http://www.w3.org/2001/XMLSchema" xmlns:p="http://schemas.microsoft.com/office/2006/metadata/properties" xmlns:ns3="efe2e06b-378a-4a21-81ca-489fb1b1e02d" xmlns:ns4="d26f024a-2746-492c-819e-11a9f50b589f" targetNamespace="http://schemas.microsoft.com/office/2006/metadata/properties" ma:root="true" ma:fieldsID="46ae88d56ca2e75074f44c60742cbdd8" ns3:_="" ns4:_="">
    <xsd:import namespace="efe2e06b-378a-4a21-81ca-489fb1b1e02d"/>
    <xsd:import namespace="d26f024a-2746-492c-819e-11a9f50b58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2e06b-378a-4a21-81ca-489fb1b1e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f024a-2746-492c-819e-11a9f50b58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DC31B-EE74-41AF-9462-3F748CCB0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667D1-C66D-4242-AF10-25272E5B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2e06b-378a-4a21-81ca-489fb1b1e02d"/>
    <ds:schemaRef ds:uri="d26f024a-2746-492c-819e-11a9f50b5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F67A4-E493-4A32-B369-060F3D68DA40}">
  <ds:schemaRefs>
    <ds:schemaRef ds:uri="http://schemas.openxmlformats.org/officeDocument/2006/bibliography"/>
  </ds:schemaRefs>
</ds:datastoreItem>
</file>

<file path=customXml/itemProps4.xml><?xml version="1.0" encoding="utf-8"?>
<ds:datastoreItem xmlns:ds="http://schemas.openxmlformats.org/officeDocument/2006/customXml" ds:itemID="{C1F1E417-110D-4CB7-B60F-082034A0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28</Pages>
  <Words>8679</Words>
  <Characters>49473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Rai, Abha</cp:lastModifiedBy>
  <cp:revision>85</cp:revision>
  <dcterms:created xsi:type="dcterms:W3CDTF">2021-11-09T17:47:00Z</dcterms:created>
  <dcterms:modified xsi:type="dcterms:W3CDTF">2021-11-10T21:58:00Z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0x01010063A683E01F0FD24288BCB776CFF51142</vt:lpwstr>
  </property>
  <property fmtid="{D5CDD505-2E9C-101B-9397-08002B2CF9AE}" pid="3" name="grammarly_documentId">
    <vt:lpwstr>documentId_6792</vt:lpwstr>
  </property>
  <property fmtid="{D5CDD505-2E9C-101B-9397-08002B2CF9AE}" pid="4" name="grammarly_documentContext">
    <vt:lpwstr>{"goals":[],"domain":"general","emotions":[],"dialect":"american"}</vt:lpwstr>
  </property>
</Properties>
</file>