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6DD1" w14:textId="77777777" w:rsidR="00997A17" w:rsidRPr="0012546B" w:rsidRDefault="00997A17" w:rsidP="00997A17">
      <w:pPr>
        <w:pStyle w:val="Heading1"/>
      </w:pPr>
      <w:r>
        <w:t>RESEARCH ARTICLE</w:t>
      </w:r>
    </w:p>
    <w:p w14:paraId="4E6BE7C1" w14:textId="77777777" w:rsidR="00997A17" w:rsidRPr="00085F5D" w:rsidRDefault="00997A17" w:rsidP="00997A17">
      <w:pPr>
        <w:pStyle w:val="Title"/>
      </w:pPr>
      <w:r>
        <w:t>Widening participation students’ experience and perception of flipped learning statistics compared with traditional teaching</w:t>
      </w:r>
    </w:p>
    <w:p w14:paraId="1E010350" w14:textId="3444A0C1" w:rsidR="001615D5" w:rsidRDefault="001615D5"/>
    <w:p w14:paraId="6ABE4BD3" w14:textId="77777777" w:rsidR="00997A17" w:rsidRDefault="00997A17" w:rsidP="00997A17">
      <w:r w:rsidRPr="001C5C44">
        <w:t xml:space="preserve">Table </w:t>
      </w:r>
      <w:r>
        <w:t>1</w:t>
      </w:r>
      <w:r w:rsidRPr="001C5C44">
        <w:t>. Modes of teaching in M1 and M2 in the 2021-22 academic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6"/>
        <w:gridCol w:w="1330"/>
        <w:gridCol w:w="1210"/>
        <w:gridCol w:w="1930"/>
      </w:tblGrid>
      <w:tr w:rsidR="00997A17" w:rsidRPr="001C5C44" w14:paraId="2A1B9F70" w14:textId="77777777" w:rsidTr="005871A3">
        <w:trPr>
          <w:trHeight w:val="309"/>
        </w:trPr>
        <w:tc>
          <w:tcPr>
            <w:tcW w:w="4957" w:type="dxa"/>
          </w:tcPr>
          <w:p w14:paraId="216FD6BD" w14:textId="77777777" w:rsidR="00997A17" w:rsidRPr="001C5C44" w:rsidRDefault="00997A17" w:rsidP="005871A3">
            <w:r w:rsidRPr="001C5C44">
              <w:t>Statistics content</w:t>
            </w:r>
          </w:p>
        </w:tc>
        <w:tc>
          <w:tcPr>
            <w:tcW w:w="1417" w:type="dxa"/>
          </w:tcPr>
          <w:p w14:paraId="5A8DD884" w14:textId="77777777" w:rsidR="00997A17" w:rsidRPr="001C5C44" w:rsidRDefault="00997A17" w:rsidP="005871A3">
            <w:r w:rsidRPr="001C5C44">
              <w:t>M1</w:t>
            </w:r>
          </w:p>
        </w:tc>
        <w:tc>
          <w:tcPr>
            <w:tcW w:w="1276" w:type="dxa"/>
          </w:tcPr>
          <w:p w14:paraId="0EB82137" w14:textId="77777777" w:rsidR="00997A17" w:rsidRPr="001C5C44" w:rsidRDefault="00997A17" w:rsidP="005871A3">
            <w:r w:rsidRPr="001C5C44">
              <w:t>M2</w:t>
            </w:r>
          </w:p>
        </w:tc>
        <w:tc>
          <w:tcPr>
            <w:tcW w:w="1978" w:type="dxa"/>
          </w:tcPr>
          <w:p w14:paraId="48DEE59D" w14:textId="77777777" w:rsidR="00997A17" w:rsidRPr="001C5C44" w:rsidRDefault="00997A17" w:rsidP="005871A3">
            <w:r w:rsidRPr="001C5C44">
              <w:t>Assessment</w:t>
            </w:r>
          </w:p>
        </w:tc>
      </w:tr>
      <w:tr w:rsidR="00997A17" w:rsidRPr="001C5C44" w14:paraId="504D5B66" w14:textId="77777777" w:rsidTr="005871A3">
        <w:trPr>
          <w:trHeight w:val="478"/>
        </w:trPr>
        <w:tc>
          <w:tcPr>
            <w:tcW w:w="4957" w:type="dxa"/>
          </w:tcPr>
          <w:p w14:paraId="00C058A5" w14:textId="77777777" w:rsidR="00997A17" w:rsidRPr="001C5C44" w:rsidRDefault="00997A17" w:rsidP="005871A3">
            <w:r w:rsidRPr="001C5C44">
              <w:t>Term 1 (10 weeks): Descriptive analysis</w:t>
            </w:r>
          </w:p>
        </w:tc>
        <w:tc>
          <w:tcPr>
            <w:tcW w:w="1417" w:type="dxa"/>
          </w:tcPr>
          <w:p w14:paraId="6E1553F5" w14:textId="77777777" w:rsidR="00997A17" w:rsidRPr="001C5C44" w:rsidRDefault="00997A17" w:rsidP="005871A3">
            <w:r w:rsidRPr="001C5C44">
              <w:t>FL</w:t>
            </w:r>
          </w:p>
        </w:tc>
        <w:tc>
          <w:tcPr>
            <w:tcW w:w="1276" w:type="dxa"/>
          </w:tcPr>
          <w:p w14:paraId="4342C9AD" w14:textId="77777777" w:rsidR="00997A17" w:rsidRPr="001C5C44" w:rsidRDefault="00997A17" w:rsidP="005871A3">
            <w:r w:rsidRPr="001C5C44">
              <w:t>TT</w:t>
            </w:r>
          </w:p>
        </w:tc>
        <w:tc>
          <w:tcPr>
            <w:tcW w:w="1978" w:type="dxa"/>
          </w:tcPr>
          <w:p w14:paraId="743FD7F9" w14:textId="77777777" w:rsidR="00997A17" w:rsidRPr="001C5C44" w:rsidRDefault="00997A17" w:rsidP="005871A3">
            <w:r>
              <w:t xml:space="preserve">Open book </w:t>
            </w:r>
          </w:p>
        </w:tc>
      </w:tr>
      <w:tr w:rsidR="00997A17" w:rsidRPr="001C5C44" w14:paraId="5489B480" w14:textId="77777777" w:rsidTr="005871A3">
        <w:trPr>
          <w:trHeight w:val="309"/>
        </w:trPr>
        <w:tc>
          <w:tcPr>
            <w:tcW w:w="4957" w:type="dxa"/>
          </w:tcPr>
          <w:p w14:paraId="42B84048" w14:textId="77777777" w:rsidR="00997A17" w:rsidRPr="001C5C44" w:rsidRDefault="00997A17" w:rsidP="005871A3">
            <w:r w:rsidRPr="001C5C44">
              <w:t xml:space="preserve">Term 2 (10 weeks): Inferential analysis </w:t>
            </w:r>
          </w:p>
        </w:tc>
        <w:tc>
          <w:tcPr>
            <w:tcW w:w="1417" w:type="dxa"/>
          </w:tcPr>
          <w:p w14:paraId="3186D709" w14:textId="77777777" w:rsidR="00997A17" w:rsidRPr="001C5C44" w:rsidRDefault="00997A17" w:rsidP="005871A3">
            <w:r w:rsidRPr="001C5C44">
              <w:t>TT</w:t>
            </w:r>
          </w:p>
        </w:tc>
        <w:tc>
          <w:tcPr>
            <w:tcW w:w="1276" w:type="dxa"/>
          </w:tcPr>
          <w:p w14:paraId="1CF435AF" w14:textId="77777777" w:rsidR="00997A17" w:rsidRPr="001C5C44" w:rsidRDefault="00997A17" w:rsidP="005871A3">
            <w:r w:rsidRPr="001C5C44">
              <w:t>FL</w:t>
            </w:r>
          </w:p>
        </w:tc>
        <w:tc>
          <w:tcPr>
            <w:tcW w:w="1978" w:type="dxa"/>
          </w:tcPr>
          <w:p w14:paraId="5FBC4401" w14:textId="77777777" w:rsidR="00997A17" w:rsidRPr="001C5C44" w:rsidRDefault="00997A17" w:rsidP="005871A3">
            <w:r>
              <w:t>Open book</w:t>
            </w:r>
          </w:p>
        </w:tc>
      </w:tr>
    </w:tbl>
    <w:p w14:paraId="41DE800C" w14:textId="50F4416D" w:rsidR="00997A17" w:rsidRDefault="00997A17" w:rsidP="00997A17"/>
    <w:p w14:paraId="2AEBE814" w14:textId="77777777" w:rsidR="00997A17" w:rsidRDefault="00997A17" w:rsidP="00997A17">
      <w:pPr>
        <w:pStyle w:val="Caption"/>
      </w:pPr>
      <w:r>
        <w:t>Table 2. Performances on the statistics of the students in 2021-22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360"/>
        <w:gridCol w:w="1890"/>
        <w:gridCol w:w="1680"/>
        <w:gridCol w:w="1335"/>
        <w:gridCol w:w="1369"/>
      </w:tblGrid>
      <w:tr w:rsidR="00997A17" w14:paraId="1A80EB13" w14:textId="77777777" w:rsidTr="005871A3">
        <w:trPr>
          <w:cantSplit/>
        </w:trPr>
        <w:tc>
          <w:tcPr>
            <w:tcW w:w="3360" w:type="dxa"/>
          </w:tcPr>
          <w:p w14:paraId="373315CB" w14:textId="77777777" w:rsidR="00997A17" w:rsidRDefault="00997A17" w:rsidP="005871A3">
            <w:pPr>
              <w:jc w:val="center"/>
            </w:pPr>
            <w:r>
              <w:t>Group*</w:t>
            </w:r>
          </w:p>
        </w:tc>
        <w:tc>
          <w:tcPr>
            <w:tcW w:w="1890" w:type="dxa"/>
          </w:tcPr>
          <w:p w14:paraId="3DD7CE02" w14:textId="77777777" w:rsidR="00997A17" w:rsidRDefault="00997A17" w:rsidP="005871A3">
            <w:pPr>
              <w:jc w:val="center"/>
            </w:pPr>
            <w:r>
              <w:t>M1</w:t>
            </w:r>
          </w:p>
          <w:p w14:paraId="1B070496" w14:textId="77777777" w:rsidR="00997A17" w:rsidRDefault="00997A17" w:rsidP="005871A3">
            <w:pPr>
              <w:jc w:val="center"/>
            </w:pPr>
            <w:r>
              <w:t>(n=30)</w:t>
            </w:r>
          </w:p>
        </w:tc>
        <w:tc>
          <w:tcPr>
            <w:tcW w:w="1680" w:type="dxa"/>
          </w:tcPr>
          <w:p w14:paraId="7747AA82" w14:textId="77777777" w:rsidR="00997A17" w:rsidRDefault="00997A17" w:rsidP="005871A3">
            <w:pPr>
              <w:jc w:val="center"/>
            </w:pPr>
            <w:r>
              <w:t>M2</w:t>
            </w:r>
          </w:p>
          <w:p w14:paraId="13652A07" w14:textId="77777777" w:rsidR="00997A17" w:rsidRDefault="00997A17" w:rsidP="005871A3">
            <w:pPr>
              <w:jc w:val="center"/>
            </w:pPr>
            <w:r>
              <w:t>(n=20)</w:t>
            </w:r>
          </w:p>
        </w:tc>
        <w:tc>
          <w:tcPr>
            <w:tcW w:w="1335" w:type="dxa"/>
          </w:tcPr>
          <w:p w14:paraId="2B09F821" w14:textId="77777777" w:rsidR="00997A17" w:rsidRDefault="00997A17" w:rsidP="005871A3">
            <w:pPr>
              <w:jc w:val="center"/>
            </w:pPr>
            <w:r>
              <w:t>M1</w:t>
            </w:r>
          </w:p>
          <w:p w14:paraId="3880DC8F" w14:textId="77777777" w:rsidR="00997A17" w:rsidRDefault="00997A17" w:rsidP="005871A3">
            <w:pPr>
              <w:jc w:val="center"/>
            </w:pPr>
            <w:r>
              <w:t>(n=23)</w:t>
            </w:r>
          </w:p>
        </w:tc>
        <w:tc>
          <w:tcPr>
            <w:tcW w:w="1369" w:type="dxa"/>
          </w:tcPr>
          <w:p w14:paraId="429A3A3B" w14:textId="77777777" w:rsidR="00997A17" w:rsidRDefault="00997A17" w:rsidP="005871A3">
            <w:pPr>
              <w:jc w:val="center"/>
            </w:pPr>
            <w:r>
              <w:t>M2</w:t>
            </w:r>
          </w:p>
          <w:p w14:paraId="31B8D2EF" w14:textId="77777777" w:rsidR="00997A17" w:rsidRDefault="00997A17" w:rsidP="005871A3">
            <w:pPr>
              <w:jc w:val="center"/>
            </w:pPr>
            <w:r>
              <w:t>(n=16)</w:t>
            </w:r>
          </w:p>
        </w:tc>
      </w:tr>
      <w:tr w:rsidR="00997A17" w14:paraId="42678550" w14:textId="77777777" w:rsidTr="005871A3">
        <w:trPr>
          <w:cantSplit/>
        </w:trPr>
        <w:tc>
          <w:tcPr>
            <w:tcW w:w="3360" w:type="dxa"/>
          </w:tcPr>
          <w:p w14:paraId="5EC6FFFB" w14:textId="77777777" w:rsidR="00997A17" w:rsidRDefault="00997A17" w:rsidP="005871A3">
            <w:pPr>
              <w:jc w:val="center"/>
            </w:pPr>
            <w:r>
              <w:t>Average of the GCSE at entry of the study</w:t>
            </w:r>
          </w:p>
          <w:p w14:paraId="13573659" w14:textId="77777777" w:rsidR="00997A17" w:rsidRDefault="00997A17" w:rsidP="005871A3">
            <w:pPr>
              <w:jc w:val="center"/>
            </w:pPr>
            <w:r>
              <w:t>(Standard deviation)</w:t>
            </w:r>
          </w:p>
        </w:tc>
        <w:tc>
          <w:tcPr>
            <w:tcW w:w="1890" w:type="dxa"/>
          </w:tcPr>
          <w:p w14:paraId="13CCB8F8" w14:textId="77777777" w:rsidR="00997A17" w:rsidRDefault="00997A17" w:rsidP="005871A3">
            <w:pPr>
              <w:jc w:val="center"/>
            </w:pPr>
            <w:r>
              <w:t>5.5</w:t>
            </w:r>
          </w:p>
          <w:p w14:paraId="2FE0C442" w14:textId="77777777" w:rsidR="00997A17" w:rsidRDefault="00997A17" w:rsidP="005871A3">
            <w:pPr>
              <w:jc w:val="center"/>
            </w:pPr>
            <w:r>
              <w:t>(1.47)</w:t>
            </w:r>
          </w:p>
        </w:tc>
        <w:tc>
          <w:tcPr>
            <w:tcW w:w="1680" w:type="dxa"/>
          </w:tcPr>
          <w:p w14:paraId="5CD5DA5D" w14:textId="77777777" w:rsidR="00997A17" w:rsidRDefault="00997A17" w:rsidP="005871A3">
            <w:pPr>
              <w:jc w:val="center"/>
            </w:pPr>
            <w:r>
              <w:t>5.6</w:t>
            </w:r>
          </w:p>
          <w:p w14:paraId="1326F914" w14:textId="77777777" w:rsidR="00997A17" w:rsidRDefault="00997A17" w:rsidP="005871A3">
            <w:pPr>
              <w:jc w:val="center"/>
            </w:pPr>
            <w:r>
              <w:t>(1.49)</w:t>
            </w:r>
          </w:p>
        </w:tc>
        <w:tc>
          <w:tcPr>
            <w:tcW w:w="1335" w:type="dxa"/>
          </w:tcPr>
          <w:p w14:paraId="592E3F31" w14:textId="77777777" w:rsidR="00997A17" w:rsidRDefault="00997A17" w:rsidP="005871A3">
            <w:pPr>
              <w:jc w:val="center"/>
            </w:pPr>
            <w:r>
              <w:t>5.3</w:t>
            </w:r>
          </w:p>
          <w:p w14:paraId="5E3B2D37" w14:textId="77777777" w:rsidR="00997A17" w:rsidRDefault="00997A17" w:rsidP="005871A3">
            <w:pPr>
              <w:jc w:val="center"/>
            </w:pPr>
            <w:r>
              <w:t>(1.81)</w:t>
            </w:r>
          </w:p>
        </w:tc>
        <w:tc>
          <w:tcPr>
            <w:tcW w:w="1369" w:type="dxa"/>
          </w:tcPr>
          <w:p w14:paraId="1F427ED5" w14:textId="77777777" w:rsidR="00997A17" w:rsidRDefault="00997A17" w:rsidP="005871A3">
            <w:pPr>
              <w:jc w:val="center"/>
            </w:pPr>
            <w:r>
              <w:t>5.7</w:t>
            </w:r>
          </w:p>
          <w:p w14:paraId="550881C7" w14:textId="77777777" w:rsidR="00997A17" w:rsidRDefault="00997A17" w:rsidP="005871A3">
            <w:pPr>
              <w:jc w:val="center"/>
            </w:pPr>
            <w:r>
              <w:t>(1.57)</w:t>
            </w:r>
          </w:p>
        </w:tc>
      </w:tr>
      <w:tr w:rsidR="00997A17" w14:paraId="123D09B7" w14:textId="77777777" w:rsidTr="005871A3">
        <w:trPr>
          <w:cantSplit/>
        </w:trPr>
        <w:tc>
          <w:tcPr>
            <w:tcW w:w="3360" w:type="dxa"/>
          </w:tcPr>
          <w:p w14:paraId="1872159F" w14:textId="77777777" w:rsidR="00997A17" w:rsidRDefault="00997A17" w:rsidP="005871A3">
            <w:pPr>
              <w:jc w:val="center"/>
            </w:pPr>
            <w:r>
              <w:t>Assessment content</w:t>
            </w:r>
          </w:p>
        </w:tc>
        <w:tc>
          <w:tcPr>
            <w:tcW w:w="3570" w:type="dxa"/>
            <w:gridSpan w:val="2"/>
          </w:tcPr>
          <w:p w14:paraId="6BB43A25" w14:textId="77777777" w:rsidR="00997A17" w:rsidRDefault="00997A17" w:rsidP="005871A3">
            <w:pPr>
              <w:jc w:val="center"/>
            </w:pPr>
            <w:r>
              <w:t>Descriptive statistics</w:t>
            </w:r>
          </w:p>
        </w:tc>
        <w:tc>
          <w:tcPr>
            <w:tcW w:w="2704" w:type="dxa"/>
            <w:gridSpan w:val="2"/>
          </w:tcPr>
          <w:p w14:paraId="7C277EEB" w14:textId="77777777" w:rsidR="00997A17" w:rsidRDefault="00997A17" w:rsidP="005871A3">
            <w:pPr>
              <w:jc w:val="center"/>
            </w:pPr>
            <w:r>
              <w:t>Inferential analysis</w:t>
            </w:r>
          </w:p>
        </w:tc>
      </w:tr>
      <w:tr w:rsidR="00997A17" w14:paraId="253574EC" w14:textId="77777777" w:rsidTr="005871A3">
        <w:trPr>
          <w:cantSplit/>
        </w:trPr>
        <w:tc>
          <w:tcPr>
            <w:tcW w:w="3360" w:type="dxa"/>
          </w:tcPr>
          <w:p w14:paraId="4AAA6D33" w14:textId="77777777" w:rsidR="00997A17" w:rsidRDefault="00997A17" w:rsidP="005871A3">
            <w:pPr>
              <w:jc w:val="center"/>
            </w:pPr>
            <w:r>
              <w:t>Average mark (%)</w:t>
            </w:r>
          </w:p>
        </w:tc>
        <w:tc>
          <w:tcPr>
            <w:tcW w:w="1890" w:type="dxa"/>
          </w:tcPr>
          <w:p w14:paraId="072C0E74" w14:textId="77777777" w:rsidR="00997A17" w:rsidRDefault="00997A17" w:rsidP="005871A3">
            <w:pPr>
              <w:jc w:val="center"/>
            </w:pPr>
            <w:r>
              <w:t>73.9</w:t>
            </w:r>
          </w:p>
          <w:p w14:paraId="40333236" w14:textId="77777777" w:rsidR="00997A17" w:rsidRDefault="00997A17" w:rsidP="005871A3">
            <w:pPr>
              <w:jc w:val="center"/>
            </w:pPr>
            <w:r>
              <w:t>(</w:t>
            </w:r>
            <w:proofErr w:type="spellStart"/>
            <w:r>
              <w:t>s.d.</w:t>
            </w:r>
            <w:proofErr w:type="spellEnd"/>
            <w:r>
              <w:t xml:space="preserve">=16.0) </w:t>
            </w:r>
          </w:p>
          <w:p w14:paraId="071A12B2" w14:textId="77777777" w:rsidR="00997A17" w:rsidRDefault="00997A17" w:rsidP="005871A3">
            <w:pPr>
              <w:jc w:val="center"/>
            </w:pPr>
            <w:r>
              <w:t>(FL)</w:t>
            </w:r>
          </w:p>
        </w:tc>
        <w:tc>
          <w:tcPr>
            <w:tcW w:w="1680" w:type="dxa"/>
          </w:tcPr>
          <w:p w14:paraId="0E4BD84F" w14:textId="77777777" w:rsidR="00997A17" w:rsidRDefault="00997A17" w:rsidP="005871A3">
            <w:pPr>
              <w:jc w:val="center"/>
            </w:pPr>
            <w:r>
              <w:t>73.7</w:t>
            </w:r>
          </w:p>
          <w:p w14:paraId="0EB61788" w14:textId="77777777" w:rsidR="00997A17" w:rsidRDefault="00997A17" w:rsidP="005871A3">
            <w:pPr>
              <w:jc w:val="center"/>
            </w:pPr>
            <w:r>
              <w:t>(11.0)</w:t>
            </w:r>
          </w:p>
          <w:p w14:paraId="7AB18529" w14:textId="77777777" w:rsidR="00997A17" w:rsidRDefault="00997A17" w:rsidP="005871A3">
            <w:pPr>
              <w:jc w:val="center"/>
            </w:pPr>
            <w:r>
              <w:t>(TT)</w:t>
            </w:r>
          </w:p>
        </w:tc>
        <w:tc>
          <w:tcPr>
            <w:tcW w:w="1335" w:type="dxa"/>
          </w:tcPr>
          <w:p w14:paraId="074E5E0C" w14:textId="77777777" w:rsidR="00997A17" w:rsidRDefault="00997A17" w:rsidP="005871A3">
            <w:pPr>
              <w:jc w:val="center"/>
            </w:pPr>
            <w:r>
              <w:t>73.5</w:t>
            </w:r>
          </w:p>
          <w:p w14:paraId="647AB86A" w14:textId="77777777" w:rsidR="00997A17" w:rsidRDefault="00997A17" w:rsidP="005871A3">
            <w:pPr>
              <w:jc w:val="center"/>
            </w:pPr>
            <w:r>
              <w:t>(20.1)</w:t>
            </w:r>
          </w:p>
          <w:p w14:paraId="5301B457" w14:textId="77777777" w:rsidR="00997A17" w:rsidRDefault="00997A17" w:rsidP="005871A3">
            <w:pPr>
              <w:jc w:val="center"/>
            </w:pPr>
            <w:r>
              <w:t>(TT)</w:t>
            </w:r>
          </w:p>
        </w:tc>
        <w:tc>
          <w:tcPr>
            <w:tcW w:w="1369" w:type="dxa"/>
          </w:tcPr>
          <w:p w14:paraId="037054C9" w14:textId="77777777" w:rsidR="00997A17" w:rsidRDefault="00997A17" w:rsidP="005871A3">
            <w:pPr>
              <w:jc w:val="center"/>
            </w:pPr>
            <w:r>
              <w:t>67.3</w:t>
            </w:r>
          </w:p>
          <w:p w14:paraId="07715B12" w14:textId="77777777" w:rsidR="00997A17" w:rsidRDefault="00997A17" w:rsidP="005871A3">
            <w:pPr>
              <w:jc w:val="center"/>
            </w:pPr>
            <w:r>
              <w:t>(17.4)</w:t>
            </w:r>
          </w:p>
          <w:p w14:paraId="22BF6FEC" w14:textId="77777777" w:rsidR="00997A17" w:rsidRDefault="00997A17" w:rsidP="005871A3">
            <w:pPr>
              <w:jc w:val="center"/>
            </w:pPr>
            <w:r>
              <w:t>(FL)</w:t>
            </w:r>
          </w:p>
        </w:tc>
      </w:tr>
      <w:tr w:rsidR="00997A17" w14:paraId="74187411" w14:textId="77777777" w:rsidTr="005871A3">
        <w:trPr>
          <w:cantSplit/>
        </w:trPr>
        <w:tc>
          <w:tcPr>
            <w:tcW w:w="3360" w:type="dxa"/>
          </w:tcPr>
          <w:p w14:paraId="0ED34074" w14:textId="77777777" w:rsidR="00997A17" w:rsidRDefault="00997A17" w:rsidP="005871A3">
            <w:pPr>
              <w:jc w:val="center"/>
            </w:pPr>
            <w:r>
              <w:t>p-value (Two sample independent t-test)</w:t>
            </w:r>
          </w:p>
        </w:tc>
        <w:tc>
          <w:tcPr>
            <w:tcW w:w="3570" w:type="dxa"/>
            <w:gridSpan w:val="2"/>
          </w:tcPr>
          <w:p w14:paraId="595C56E4" w14:textId="77777777" w:rsidR="00997A17" w:rsidRDefault="00997A17" w:rsidP="005871A3">
            <w:pPr>
              <w:jc w:val="center"/>
            </w:pPr>
            <w:r>
              <w:t>0.957</w:t>
            </w:r>
          </w:p>
        </w:tc>
        <w:tc>
          <w:tcPr>
            <w:tcW w:w="2704" w:type="dxa"/>
            <w:gridSpan w:val="2"/>
          </w:tcPr>
          <w:p w14:paraId="467E3DDF" w14:textId="77777777" w:rsidR="00997A17" w:rsidRDefault="00997A17" w:rsidP="005871A3">
            <w:pPr>
              <w:jc w:val="center"/>
            </w:pPr>
            <w:r>
              <w:t>0.313</w:t>
            </w:r>
          </w:p>
        </w:tc>
      </w:tr>
      <w:tr w:rsidR="00997A17" w14:paraId="6924F131" w14:textId="77777777" w:rsidTr="005871A3">
        <w:trPr>
          <w:cantSplit/>
        </w:trPr>
        <w:tc>
          <w:tcPr>
            <w:tcW w:w="3360" w:type="dxa"/>
          </w:tcPr>
          <w:p w14:paraId="6929AB22" w14:textId="77777777" w:rsidR="00997A17" w:rsidRDefault="00997A17" w:rsidP="005871A3">
            <w:pPr>
              <w:jc w:val="center"/>
            </w:pPr>
            <w:r>
              <w:t>Cohen’s effect size</w:t>
            </w:r>
          </w:p>
        </w:tc>
        <w:tc>
          <w:tcPr>
            <w:tcW w:w="3570" w:type="dxa"/>
            <w:gridSpan w:val="2"/>
          </w:tcPr>
          <w:p w14:paraId="7E971409" w14:textId="77777777" w:rsidR="00997A17" w:rsidRDefault="00997A17" w:rsidP="005871A3">
            <w:pPr>
              <w:jc w:val="center"/>
            </w:pPr>
            <w:r>
              <w:t>0.016</w:t>
            </w:r>
          </w:p>
        </w:tc>
        <w:tc>
          <w:tcPr>
            <w:tcW w:w="2704" w:type="dxa"/>
            <w:gridSpan w:val="2"/>
          </w:tcPr>
          <w:p w14:paraId="04E89190" w14:textId="77777777" w:rsidR="00997A17" w:rsidRDefault="00997A17" w:rsidP="005871A3">
            <w:pPr>
              <w:jc w:val="center"/>
            </w:pPr>
            <w:r>
              <w:t>0.333</w:t>
            </w:r>
          </w:p>
        </w:tc>
      </w:tr>
    </w:tbl>
    <w:p w14:paraId="4945C143" w14:textId="77777777" w:rsidR="00997A17" w:rsidRPr="008F7E46" w:rsidRDefault="00997A17" w:rsidP="00997A17">
      <w:r w:rsidRPr="008F7E46">
        <w:t xml:space="preserve">* </w:t>
      </w:r>
      <w:r>
        <w:t>O</w:t>
      </w:r>
      <w:r w:rsidRPr="008F7E46">
        <w:t xml:space="preserve">nly the students that completed the tests were included in the averages. </w:t>
      </w:r>
    </w:p>
    <w:p w14:paraId="457EC22C" w14:textId="77777777" w:rsidR="00997A17" w:rsidRDefault="00997A17" w:rsidP="00997A17"/>
    <w:p w14:paraId="47D7DB03" w14:textId="4C1CC023" w:rsidR="00997A17" w:rsidRDefault="00997A17"/>
    <w:p w14:paraId="0603CB5F" w14:textId="4F4E38A2" w:rsidR="00997A17" w:rsidRDefault="00997A17">
      <w:r>
        <w:rPr>
          <w:noProof/>
        </w:rPr>
        <w:lastRenderedPageBreak/>
        <w:drawing>
          <wp:inline distT="0" distB="0" distL="0" distR="0" wp14:anchorId="6D439D9B" wp14:editId="724DE096">
            <wp:extent cx="5731510" cy="5654796"/>
            <wp:effectExtent l="0" t="0" r="254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5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F8415" w14:textId="1C74EE4B" w:rsidR="00997A17" w:rsidRDefault="00997A17" w:rsidP="00997A17">
      <w:pPr>
        <w:jc w:val="center"/>
      </w:pPr>
      <w:r w:rsidRPr="00A74CB0">
        <w:t>Figure 1. Students’ response to the questionnaire regarding study skills</w:t>
      </w:r>
    </w:p>
    <w:p w14:paraId="5BDA58DE" w14:textId="532D6517" w:rsidR="00997A17" w:rsidRDefault="00997A17"/>
    <w:p w14:paraId="0F8C16E6" w14:textId="23525F3D" w:rsidR="00997A17" w:rsidRDefault="00997A17">
      <w:r>
        <w:rPr>
          <w:noProof/>
        </w:rPr>
        <w:lastRenderedPageBreak/>
        <w:drawing>
          <wp:inline distT="0" distB="0" distL="0" distR="0" wp14:anchorId="075223A2" wp14:editId="5D1EC4C8">
            <wp:extent cx="5731510" cy="5533482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3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A04A8" w14:textId="77777777" w:rsidR="00997A17" w:rsidRDefault="00997A17" w:rsidP="00997A17">
      <w:pPr>
        <w:pStyle w:val="Caption"/>
        <w:spacing w:before="0" w:after="480"/>
        <w:jc w:val="center"/>
      </w:pPr>
      <w:bookmarkStart w:id="0" w:name="_Hlk76390544"/>
      <w:r>
        <w:t>Figure 2. Students’ response to the questionnaire regarding emotional and cognitive engagement</w:t>
      </w:r>
    </w:p>
    <w:bookmarkEnd w:id="0"/>
    <w:p w14:paraId="2A1C7503" w14:textId="7AB96988" w:rsidR="00997A17" w:rsidRDefault="00997A17">
      <w:r>
        <w:rPr>
          <w:noProof/>
        </w:rPr>
        <w:drawing>
          <wp:inline distT="0" distB="0" distL="0" distR="0" wp14:anchorId="60E85AE0" wp14:editId="3362B3C9">
            <wp:extent cx="5731510" cy="2294864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9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CE42C" w14:textId="77777777" w:rsidR="00997A17" w:rsidRDefault="00997A17" w:rsidP="00997A17">
      <w:pPr>
        <w:jc w:val="center"/>
      </w:pPr>
      <w:r>
        <w:t>Figure 3. Students’ response to the questionnaire regarding overall experience for FL</w:t>
      </w:r>
    </w:p>
    <w:p w14:paraId="36128064" w14:textId="0387C297" w:rsidR="00997A17" w:rsidRDefault="00997A17"/>
    <w:p w14:paraId="0A40D4EE" w14:textId="1FAB1738" w:rsidR="00997A17" w:rsidRDefault="00997A17">
      <w:r>
        <w:rPr>
          <w:noProof/>
        </w:rPr>
        <w:lastRenderedPageBreak/>
        <w:drawing>
          <wp:inline distT="0" distB="0" distL="0" distR="0" wp14:anchorId="3182F48F" wp14:editId="7A6450B1">
            <wp:extent cx="5731510" cy="3540903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4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D0265" w14:textId="77777777" w:rsidR="00997A17" w:rsidRPr="005B68F6" w:rsidRDefault="00997A17" w:rsidP="00997A17">
      <w:pPr>
        <w:pStyle w:val="Caption"/>
        <w:spacing w:before="0" w:after="480"/>
        <w:ind w:left="0"/>
        <w:jc w:val="center"/>
      </w:pPr>
      <w:r w:rsidRPr="005B68F6">
        <w:t xml:space="preserve">Figure </w:t>
      </w:r>
      <w:r>
        <w:t>4.</w:t>
      </w:r>
      <w:r w:rsidRPr="005B68F6">
        <w:t xml:space="preserve"> Model of criteria for determining appropriate blended learning strategy (</w:t>
      </w:r>
      <w:proofErr w:type="spellStart"/>
      <w:r w:rsidRPr="005B68F6">
        <w:t>Chaeruman</w:t>
      </w:r>
      <w:proofErr w:type="spellEnd"/>
      <w:r w:rsidRPr="005B68F6">
        <w:t xml:space="preserve"> et al., 2018)</w:t>
      </w:r>
    </w:p>
    <w:p w14:paraId="01A67EAA" w14:textId="77777777" w:rsidR="00997A17" w:rsidRDefault="00997A17"/>
    <w:sectPr w:rsidR="00997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672FC"/>
    <w:multiLevelType w:val="multilevel"/>
    <w:tmpl w:val="71F4F70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17"/>
    <w:rsid w:val="00104D7A"/>
    <w:rsid w:val="001615D5"/>
    <w:rsid w:val="00407097"/>
    <w:rsid w:val="0088417B"/>
    <w:rsid w:val="00940CD2"/>
    <w:rsid w:val="0099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F59D"/>
  <w15:chartTrackingRefBased/>
  <w15:docId w15:val="{D183E0C0-D918-4748-B3EA-8B3B3DD3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CD2"/>
    <w:pPr>
      <w:spacing w:after="0" w:line="240" w:lineRule="auto"/>
    </w:pPr>
    <w:rPr>
      <w:sz w:val="24"/>
      <w:szCs w:val="21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88417B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b/>
      <w:color w:val="7030A0"/>
      <w:sz w:val="40"/>
      <w:szCs w:val="28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7097"/>
    <w:pPr>
      <w:keepNext/>
      <w:keepLines/>
      <w:spacing w:before="80" w:line="360" w:lineRule="auto"/>
      <w:outlineLvl w:val="1"/>
    </w:pPr>
    <w:rPr>
      <w:rFonts w:ascii="Cambria Math" w:eastAsiaTheme="majorEastAsia" w:hAnsi="Cambria Math" w:cstheme="majorBidi"/>
      <w:b/>
      <w:color w:val="44546A" w:themeColor="text2"/>
      <w:sz w:val="32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8417B"/>
    <w:pPr>
      <w:keepNext/>
      <w:keepLines/>
      <w:spacing w:before="80" w:after="120" w:line="300" w:lineRule="auto"/>
      <w:outlineLvl w:val="3"/>
    </w:pPr>
    <w:rPr>
      <w:rFonts w:asciiTheme="majorHAnsi" w:eastAsiaTheme="majorEastAsia" w:hAnsiTheme="majorHAnsi" w:cstheme="majorBidi"/>
      <w:b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7097"/>
    <w:rPr>
      <w:rFonts w:ascii="Cambria Math" w:eastAsiaTheme="majorEastAsia" w:hAnsi="Cambria Math" w:cstheme="majorBidi"/>
      <w:b/>
      <w:color w:val="44546A" w:themeColor="text2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8417B"/>
    <w:rPr>
      <w:rFonts w:asciiTheme="majorHAnsi" w:eastAsiaTheme="majorEastAsia" w:hAnsiTheme="majorHAnsi" w:cstheme="majorBidi"/>
      <w:b/>
      <w:sz w:val="24"/>
    </w:rPr>
  </w:style>
  <w:style w:type="character" w:customStyle="1" w:styleId="Heading1Char">
    <w:name w:val="Heading 1 Char"/>
    <w:basedOn w:val="DefaultParagraphFont"/>
    <w:link w:val="Heading1"/>
    <w:rsid w:val="0088417B"/>
    <w:rPr>
      <w:rFonts w:asciiTheme="majorHAnsi" w:eastAsiaTheme="majorEastAsia" w:hAnsiTheme="majorHAnsi" w:cstheme="majorBidi"/>
      <w:b/>
      <w:color w:val="7030A0"/>
      <w:sz w:val="40"/>
      <w:szCs w:val="28"/>
    </w:rPr>
  </w:style>
  <w:style w:type="paragraph" w:styleId="Title">
    <w:name w:val="Title"/>
    <w:basedOn w:val="Heading1"/>
    <w:next w:val="Normal"/>
    <w:link w:val="TitleChar"/>
    <w:qFormat/>
    <w:rsid w:val="00997A17"/>
    <w:pPr>
      <w:keepLines w:val="0"/>
      <w:suppressAutoHyphens/>
      <w:spacing w:before="0" w:after="240" w:line="264" w:lineRule="auto"/>
      <w:jc w:val="both"/>
    </w:pPr>
    <w:rPr>
      <w:rFonts w:ascii="Arial" w:eastAsia="Times New Roman" w:hAnsi="Arial" w:cs="Arial"/>
      <w:bCs/>
      <w:color w:val="0070C0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997A17"/>
    <w:rPr>
      <w:rFonts w:ascii="Arial" w:eastAsia="Times New Roman" w:hAnsi="Arial" w:cs="Arial"/>
      <w:b/>
      <w:bCs/>
      <w:color w:val="0070C0"/>
      <w:sz w:val="32"/>
      <w:szCs w:val="32"/>
      <w:lang w:eastAsia="en-US"/>
    </w:rPr>
  </w:style>
  <w:style w:type="table" w:styleId="TableGrid">
    <w:name w:val="Table Grid"/>
    <w:basedOn w:val="TableNormal"/>
    <w:uiPriority w:val="39"/>
    <w:rsid w:val="00997A17"/>
    <w:pPr>
      <w:spacing w:after="0" w:line="240" w:lineRule="auto"/>
      <w:ind w:left="851" w:hanging="567"/>
    </w:pPr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997A17"/>
    <w:pPr>
      <w:suppressAutoHyphens/>
      <w:spacing w:before="480" w:line="264" w:lineRule="auto"/>
      <w:ind w:left="567" w:right="567"/>
      <w:jc w:val="both"/>
    </w:pPr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JINHUA MATHIAS</dc:creator>
  <cp:keywords/>
  <dc:description/>
  <cp:lastModifiedBy>JINHUA MATHIAS</cp:lastModifiedBy>
  <cp:revision>1</cp:revision>
  <dcterms:created xsi:type="dcterms:W3CDTF">2022-11-11T14:26:00Z</dcterms:created>
  <dcterms:modified xsi:type="dcterms:W3CDTF">2022-11-11T14:32:00Z</dcterms:modified>
</cp:coreProperties>
</file>